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60" w:after="360"/>
        <w:jc w:val="center"/>
      </w:pPr>
      <w:r>
        <w:rPr>
          <w:rFonts w:ascii="Calibri" w:hAnsi="Calibri" w:eastAsia="Microsoft JhengHei"/>
          <w:b/>
          <w:color w:val="A87A10"/>
          <w:sz w:val="22"/>
        </w:rPr>
        <w:t>品質管理｜教育訓練</w:t>
      </w:r>
    </w:p>
    <w:p>
      <w:pPr>
        <w:pStyle w:val="Title"/>
        <w:jc w:val="center"/>
      </w:pPr>
      <w:r>
        <w:t>品檢組教育訓練課綱</w:t>
      </w:r>
    </w:p>
    <w:p>
      <w:pPr>
        <w:pStyle w:val="Subtitle"/>
        <w:jc w:val="center"/>
      </w:pPr>
      <w:r>
        <w:t>從進料檢驗、製程巡檢到最終成品檢驗</w:t>
      </w:r>
    </w:p>
    <w:p>
      <w:pPr>
        <w:spacing w:before="720" w:after="720"/>
        <w:jc w:val="center"/>
      </w:pPr>
      <w:r>
        <w:rPr>
          <w:rFonts w:ascii="Calibri" w:hAnsi="Calibri" w:eastAsia="Microsoft JhengHei"/>
          <w:b/>
          <w:color w:val="1F4D78"/>
          <w:sz w:val="24"/>
        </w:rPr>
        <w:t>看懂標準  →  正確量測  →  正確判定  →  控制異常  →  完整追蹤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160"/>
        <w:gridCol w:w="7200"/>
      </w:tblGrid>
      <w:tr>
        <w:trPr>
          <w:tblHeader w:val="true"/>
        </w:trP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適用對象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color w:val="1F2937"/>
                <w:sz w:val="20"/>
              </w:rPr>
              <w:t>品檢組及需要了解品質檢驗流程之相關同仁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適用範圍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color w:val="1F2937"/>
                <w:sz w:val="20"/>
              </w:rPr>
              <w:t>進料檢驗（IQC）／製程巡檢（IPQC）／最終成品檢驗（FQC／OQC）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文件狀態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color w:val="1F2937"/>
                <w:sz w:val="20"/>
              </w:rPr>
              <w:t>討論版｜2026年9月</w:t>
            </w:r>
          </w:p>
        </w:tc>
      </w:tr>
    </w:tbl>
    <w:p>
      <w:pPr>
        <w:spacing w:before="1240"/>
        <w:jc w:val="center"/>
      </w:pPr>
      <w:r>
        <w:rPr>
          <w:rFonts w:ascii="Calibri" w:hAnsi="Calibri" w:eastAsia="Microsoft JhengHei"/>
          <w:i/>
          <w:color w:val="667085"/>
          <w:sz w:val="19"/>
        </w:rPr>
        <w:t>本文件為課程範圍與內容架構，不包含講師授課指引。</w:t>
      </w:r>
    </w:p>
    <w:p>
      <w:r>
        <w:br w:type="page"/>
      </w:r>
    </w:p>
    <w:p>
      <w:pPr>
        <w:pStyle w:val="Heading1"/>
      </w:pPr>
      <w:r>
        <w:t>教育訓練目的</w:t>
      </w:r>
    </w:p>
    <w:p>
      <w:pPr>
        <w:pStyle w:val="Lead"/>
      </w:pPr>
      <w:r>
        <w:t>建立品檢人員從進料、製程到最終成品的完整品質觀念，使受訓人員能夠：</w:t>
      </w:r>
    </w:p>
    <w:p>
      <w:pPr>
        <w:keepLines/>
        <w:numPr>
          <w:ilvl w:val="0"/>
          <w:numId w:val="10"/>
        </w:numPr>
      </w:pPr>
      <w:r>
        <w:rPr>
          <w:rFonts w:ascii="Calibri" w:hAnsi="Calibri" w:eastAsia="Microsoft JhengHei"/>
          <w:color w:val="1F2937"/>
          <w:sz w:val="22"/>
        </w:rPr>
        <w:t>看懂圖面、規格及檢驗文件</w:t>
      </w:r>
    </w:p>
    <w:p>
      <w:pPr>
        <w:keepLines/>
        <w:numPr>
          <w:ilvl w:val="0"/>
          <w:numId w:val="10"/>
        </w:numPr>
      </w:pPr>
      <w:r>
        <w:rPr>
          <w:rFonts w:ascii="Calibri" w:hAnsi="Calibri" w:eastAsia="Microsoft JhengHei"/>
          <w:color w:val="1F2937"/>
          <w:sz w:val="22"/>
        </w:rPr>
        <w:t>正確選擇與使用量具</w:t>
      </w:r>
    </w:p>
    <w:p>
      <w:pPr>
        <w:keepLines/>
        <w:numPr>
          <w:ilvl w:val="0"/>
          <w:numId w:val="10"/>
        </w:numPr>
      </w:pPr>
      <w:r>
        <w:rPr>
          <w:rFonts w:ascii="Calibri" w:hAnsi="Calibri" w:eastAsia="Microsoft JhengHei"/>
          <w:color w:val="1F2937"/>
          <w:sz w:val="22"/>
        </w:rPr>
        <w:t>依抽驗計畫及檢驗標準執行檢驗</w:t>
      </w:r>
    </w:p>
    <w:p>
      <w:pPr>
        <w:keepLines/>
        <w:numPr>
          <w:ilvl w:val="0"/>
          <w:numId w:val="10"/>
        </w:numPr>
      </w:pPr>
      <w:r>
        <w:rPr>
          <w:rFonts w:ascii="Calibri" w:hAnsi="Calibri" w:eastAsia="Microsoft JhengHei"/>
          <w:color w:val="1F2937"/>
          <w:sz w:val="22"/>
        </w:rPr>
        <w:t>正確記錄、分析及判定檢驗結果</w:t>
      </w:r>
    </w:p>
    <w:p>
      <w:pPr>
        <w:keepLines/>
        <w:numPr>
          <w:ilvl w:val="0"/>
          <w:numId w:val="10"/>
        </w:numPr>
      </w:pPr>
      <w:r>
        <w:rPr>
          <w:rFonts w:ascii="Calibri" w:hAnsi="Calibri" w:eastAsia="Microsoft JhengHei"/>
          <w:color w:val="1F2937"/>
          <w:sz w:val="22"/>
        </w:rPr>
        <w:t>發現異常時及時隔離、通報與追蹤</w:t>
      </w:r>
    </w:p>
    <w:p>
      <w:pPr>
        <w:keepLines/>
        <w:numPr>
          <w:ilvl w:val="0"/>
          <w:numId w:val="10"/>
        </w:numPr>
      </w:pPr>
      <w:r>
        <w:rPr>
          <w:rFonts w:ascii="Calibri" w:hAnsi="Calibri" w:eastAsia="Microsoft JhengHei"/>
          <w:color w:val="1F2937"/>
          <w:sz w:val="22"/>
        </w:rPr>
        <w:t>清楚說明異常現象、影響範圍及處理結果</w:t>
      </w:r>
    </w:p>
    <w:p>
      <w:pPr>
        <w:pStyle w:val="Heading1"/>
      </w:pPr>
      <w:r>
        <w:t>整體課程架構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0D5DD"/>
          <w:left w:val="single" w:sz="6" w:space="0" w:color="D0D5DD"/>
          <w:bottom w:val="single" w:sz="6" w:space="0" w:color="D0D5DD"/>
          <w:right w:val="single" w:sz="6" w:space="0" w:color="D0D5DD"/>
          <w:insideH w:val="single" w:sz="6" w:space="0" w:color="D0D5DD"/>
          <w:insideV w:val="single" w:sz="6" w:space="0" w:color="D0D5DD"/>
        </w:tblBorders>
      </w:tblPr>
      <w:tblGrid>
        <w:gridCol w:w="1200"/>
        <w:gridCol w:w="3000"/>
        <w:gridCol w:w="5160"/>
      </w:tblGrid>
      <w:tr>
        <w:trPr>
          <w:tblHeader w:val="true"/>
        </w:trPr>
        <w:tc>
          <w:tcPr>
            <w:tcW w:type="dxa" w:w="12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FFFFFF"/>
                <w:sz w:val="20"/>
              </w:rPr>
              <w:t>篇別</w:t>
            </w:r>
          </w:p>
        </w:tc>
        <w:tc>
          <w:tcPr>
            <w:tcW w:type="dxa" w:w="300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FFFFFF"/>
                <w:sz w:val="20"/>
              </w:rPr>
              <w:t>課程主題</w:t>
            </w:r>
          </w:p>
        </w:tc>
        <w:tc>
          <w:tcPr>
            <w:tcW w:type="dxa" w:w="516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FFFFFF"/>
                <w:sz w:val="20"/>
              </w:rPr>
              <w:t>核心重點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第一篇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品質檢驗共同基礎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建立文件、量具、判定與異常管理的共同語言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第二篇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進料檢驗 IQC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完成物料接收、抽驗、判定及供應商品質管理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第三篇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QC製程巡檢 IPQC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監控制程狀態、及時控制異常並追蹤改善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第四篇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最終成品檢驗 FQC／OQC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確認成品數據、功能、完整性與放行狀態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第五篇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量具與檢驗設備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建立正確量測、使用前檢查及量具異常處理能力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第六篇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品質資料與常用品質手法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運用常用統計工具辨識趨勢與異常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第七篇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公司系統與表單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認識BPM、品質系統及檢驗紀錄查詢方式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第八篇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/>
                <w:color w:val="1F2937"/>
                <w:sz w:val="19"/>
              </w:rPr>
              <w:t>實作與課後作業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JhengHei"/>
                <w:b w:val="0"/>
                <w:color w:val="1F2937"/>
                <w:sz w:val="19"/>
              </w:rPr>
              <w:t>透過實際量測、查表及案例完成能力確認</w:t>
            </w:r>
          </w:p>
        </w:tc>
      </w:tr>
    </w:tbl>
    <w:p>
      <w:pPr>
        <w:pStyle w:val="Heading1"/>
        <w:pageBreakBefore/>
      </w:pPr>
      <w:r>
        <w:t>第一篇　品質檢驗共同基礎</w:t>
      </w:r>
    </w:p>
    <w:p>
      <w:pPr>
        <w:pStyle w:val="Lead"/>
        <w:keepNext/>
      </w:pPr>
      <w:r>
        <w:t>所有檢驗階段共用的基本能力，先建立一致的資料、量測、判定與異常處理原則。</w:t>
      </w:r>
    </w:p>
    <w:p>
      <w:pPr>
        <w:pStyle w:val="Heading2"/>
      </w:pPr>
      <w:r>
        <w:t>1. 品檢組工作範圍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1.1</w:t>
      </w:r>
      <w:r>
        <w:rPr>
          <w:rFonts w:ascii="Calibri" w:hAnsi="Calibri" w:eastAsia="Microsoft JhengHei"/>
          <w:color w:val="1F2937"/>
          <w:sz w:val="21"/>
        </w:rPr>
        <w:t xml:space="preserve">　進料檢驗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1.2</w:t>
      </w:r>
      <w:r>
        <w:rPr>
          <w:rFonts w:ascii="Calibri" w:hAnsi="Calibri" w:eastAsia="Microsoft JhengHei"/>
          <w:color w:val="1F2937"/>
          <w:sz w:val="21"/>
        </w:rPr>
        <w:t xml:space="preserve">　製程巡檢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1.3</w:t>
      </w:r>
      <w:r>
        <w:rPr>
          <w:rFonts w:ascii="Calibri" w:hAnsi="Calibri" w:eastAsia="Microsoft JhengHei"/>
          <w:color w:val="1F2937"/>
          <w:sz w:val="21"/>
        </w:rPr>
        <w:t xml:space="preserve">　最終成品檢驗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1.4</w:t>
      </w:r>
      <w:r>
        <w:rPr>
          <w:rFonts w:ascii="Calibri" w:hAnsi="Calibri" w:eastAsia="Microsoft JhengHei"/>
          <w:color w:val="1F2937"/>
          <w:sz w:val="21"/>
        </w:rPr>
        <w:t xml:space="preserve">　品檢人員的責任與權限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1.5</w:t>
      </w:r>
      <w:r>
        <w:rPr>
          <w:rFonts w:ascii="Calibri" w:hAnsi="Calibri" w:eastAsia="Microsoft JhengHei"/>
          <w:color w:val="1F2937"/>
          <w:sz w:val="21"/>
        </w:rPr>
        <w:t xml:space="preserve">　品質異常的通報與追蹤</w:t>
      </w:r>
    </w:p>
    <w:p>
      <w:pPr>
        <w:pStyle w:val="Heading2"/>
      </w:pPr>
      <w:r>
        <w:t>2. 檢驗前確認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2.1</w:t>
      </w:r>
      <w:r>
        <w:rPr>
          <w:rFonts w:ascii="Calibri" w:hAnsi="Calibri" w:eastAsia="Microsoft JhengHei"/>
          <w:color w:val="1F2937"/>
          <w:sz w:val="21"/>
        </w:rPr>
        <w:t xml:space="preserve">　料號、品名、批號及數量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2.2</w:t>
      </w:r>
      <w:r>
        <w:rPr>
          <w:rFonts w:ascii="Calibri" w:hAnsi="Calibri" w:eastAsia="Microsoft JhengHei"/>
          <w:color w:val="1F2937"/>
          <w:sz w:val="21"/>
        </w:rPr>
        <w:t xml:space="preserve">　圖面、規格、檢驗單與版本確認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2.3</w:t>
      </w:r>
      <w:r>
        <w:rPr>
          <w:rFonts w:ascii="Calibri" w:hAnsi="Calibri" w:eastAsia="Microsoft JhengHei"/>
          <w:color w:val="1F2937"/>
          <w:sz w:val="21"/>
        </w:rPr>
        <w:t xml:space="preserve">　檢驗項目及判定標準確認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2.4</w:t>
      </w:r>
      <w:r>
        <w:rPr>
          <w:rFonts w:ascii="Calibri" w:hAnsi="Calibri" w:eastAsia="Microsoft JhengHei"/>
          <w:color w:val="1F2937"/>
          <w:sz w:val="21"/>
        </w:rPr>
        <w:t xml:space="preserve">　量具校正狀態及使用前檢查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2.5</w:t>
      </w:r>
      <w:r>
        <w:rPr>
          <w:rFonts w:ascii="Calibri" w:hAnsi="Calibri" w:eastAsia="Microsoft JhengHei"/>
          <w:color w:val="1F2937"/>
          <w:sz w:val="21"/>
        </w:rPr>
        <w:t xml:space="preserve">　限度樣品、治具及測試設備確認</w:t>
      </w:r>
    </w:p>
    <w:p>
      <w:pPr>
        <w:pStyle w:val="Heading2"/>
      </w:pPr>
      <w:r>
        <w:t>3. 檢驗資料與判定觀念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3.1</w:t>
      </w:r>
      <w:r>
        <w:rPr>
          <w:rFonts w:ascii="Calibri" w:hAnsi="Calibri" w:eastAsia="Microsoft JhengHei"/>
          <w:color w:val="1F2937"/>
          <w:sz w:val="21"/>
        </w:rPr>
        <w:t xml:space="preserve">　異常現象、可能原因與判定結果的差別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3.2</w:t>
      </w:r>
      <w:r>
        <w:rPr>
          <w:rFonts w:ascii="Calibri" w:hAnsi="Calibri" w:eastAsia="Microsoft JhengHei"/>
          <w:color w:val="1F2937"/>
          <w:sz w:val="21"/>
        </w:rPr>
        <w:t xml:space="preserve">　事實、推測及待確認事項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3.3</w:t>
      </w:r>
      <w:r>
        <w:rPr>
          <w:rFonts w:ascii="Calibri" w:hAnsi="Calibri" w:eastAsia="Microsoft JhengHei"/>
          <w:color w:val="1F2937"/>
          <w:sz w:val="21"/>
        </w:rPr>
        <w:t xml:space="preserve">　合格、不合格及暫停判定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3.4</w:t>
      </w:r>
      <w:r>
        <w:rPr>
          <w:rFonts w:ascii="Calibri" w:hAnsi="Calibri" w:eastAsia="Microsoft JhengHei"/>
          <w:color w:val="1F2937"/>
          <w:sz w:val="21"/>
        </w:rPr>
        <w:t xml:space="preserve">　異常品標示、隔離與紀錄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3.5</w:t>
      </w:r>
      <w:r>
        <w:rPr>
          <w:rFonts w:ascii="Calibri" w:hAnsi="Calibri" w:eastAsia="Microsoft JhengHei"/>
          <w:color w:val="1F2937"/>
          <w:sz w:val="21"/>
        </w:rPr>
        <w:t xml:space="preserve">　檢驗資料的完整性與可追溯性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87A10"/>
          <w:left w:val="single" w:sz="8" w:space="0" w:color="A87A10"/>
          <w:bottom w:val="single" w:sz="8" w:space="0" w:color="A87A10"/>
          <w:right w:val="single" w:sz="8" w:space="0" w:color="A87A10"/>
          <w:insideH w:val="single" w:sz="8" w:space="0" w:color="A87A10"/>
          <w:insideV w:val="single" w:sz="8" w:space="0" w:color="A87A10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8E8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Microsoft JhengHei"/>
                <w:b/>
                <w:color w:val="A87A10"/>
                <w:sz w:val="21"/>
              </w:rPr>
              <w:t xml:space="preserve">重要原則　</w:t>
            </w:r>
            <w:r>
              <w:rPr>
                <w:rFonts w:ascii="Calibri" w:hAnsi="Calibri" w:eastAsia="Microsoft JhengHei"/>
                <w:color w:val="1F2937"/>
                <w:sz w:val="21"/>
              </w:rPr>
              <w:t>進料檢驗版本與圖面不符、量具失效或判定標準不清時，應停止判定並向主管確認。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第二篇　進料檢驗 IQC</w:t>
      </w:r>
    </w:p>
    <w:p>
      <w:pPr>
        <w:pStyle w:val="Lead"/>
        <w:keepNext/>
      </w:pPr>
      <w:r>
        <w:t>確保來料符合圖面與採購要求，並透過抽樣、外部巡檢及例外管理降低不良流入風險。</w:t>
      </w:r>
    </w:p>
    <w:p>
      <w:pPr>
        <w:pStyle w:val="Heading2"/>
      </w:pPr>
      <w:r>
        <w:t>4. 進料檢驗基礎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4.1</w:t>
      </w:r>
      <w:r>
        <w:rPr>
          <w:rFonts w:ascii="Calibri" w:hAnsi="Calibri" w:eastAsia="Microsoft JhengHei"/>
          <w:color w:val="1F2937"/>
          <w:sz w:val="21"/>
        </w:rPr>
        <w:t xml:space="preserve">　進料檢驗目的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4.2</w:t>
      </w:r>
      <w:r>
        <w:rPr>
          <w:rFonts w:ascii="Calibri" w:hAnsi="Calibri" w:eastAsia="Microsoft JhengHei"/>
          <w:color w:val="1F2937"/>
          <w:sz w:val="21"/>
        </w:rPr>
        <w:t xml:space="preserve">　進料檢驗作業流程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4.3</w:t>
      </w:r>
      <w:r>
        <w:rPr>
          <w:rFonts w:ascii="Calibri" w:hAnsi="Calibri" w:eastAsia="Microsoft JhengHei"/>
          <w:color w:val="1F2937"/>
          <w:sz w:val="21"/>
        </w:rPr>
        <w:t xml:space="preserve">　機構品、電子件及簡易品分類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4.4</w:t>
      </w:r>
      <w:r>
        <w:rPr>
          <w:rFonts w:ascii="Calibri" w:hAnsi="Calibri" w:eastAsia="Microsoft JhengHei"/>
          <w:color w:val="1F2937"/>
          <w:sz w:val="21"/>
        </w:rPr>
        <w:t xml:space="preserve">　檢驗文件與IQC進貨檢驗系統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4.5</w:t>
      </w:r>
      <w:r>
        <w:rPr>
          <w:rFonts w:ascii="Calibri" w:hAnsi="Calibri" w:eastAsia="Microsoft JhengHei"/>
          <w:color w:val="1F2937"/>
          <w:sz w:val="21"/>
        </w:rPr>
        <w:t xml:space="preserve">　檢驗結果登錄與判定</w:t>
      </w:r>
    </w:p>
    <w:p>
      <w:pPr>
        <w:pStyle w:val="Heading2"/>
      </w:pPr>
      <w:r>
        <w:t>5. 進料檢驗項目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5.1</w:t>
      </w:r>
      <w:r>
        <w:rPr>
          <w:rFonts w:ascii="Calibri" w:hAnsi="Calibri" w:eastAsia="Microsoft JhengHei"/>
          <w:color w:val="1F2937"/>
          <w:sz w:val="21"/>
        </w:rPr>
        <w:t xml:space="preserve">　外觀檢驗：刮傷、毛邊、裂痕、變形、鏽蝕、色差、表面處理及膜厚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5.2</w:t>
      </w:r>
      <w:r>
        <w:rPr>
          <w:rFonts w:ascii="Calibri" w:hAnsi="Calibri" w:eastAsia="Microsoft JhengHei"/>
          <w:color w:val="1F2937"/>
          <w:sz w:val="21"/>
        </w:rPr>
        <w:t xml:space="preserve">　尺寸檢驗：長、寬、高、厚度、外徑、內徑、孔徑、孔距、位置尺寸及公差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5.3</w:t>
      </w:r>
      <w:r>
        <w:rPr>
          <w:rFonts w:ascii="Calibri" w:hAnsi="Calibri" w:eastAsia="Microsoft JhengHei"/>
          <w:color w:val="1F2937"/>
          <w:sz w:val="21"/>
        </w:rPr>
        <w:t xml:space="preserve">　裝配與功能檢驗：組合公差、鬆緊度配合、裝配干涉、螺牙規格、牙距及基本功能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5.4</w:t>
      </w:r>
      <w:r>
        <w:rPr>
          <w:rFonts w:ascii="Calibri" w:hAnsi="Calibri" w:eastAsia="Microsoft JhengHei"/>
          <w:color w:val="1F2937"/>
          <w:sz w:val="21"/>
        </w:rPr>
        <w:t xml:space="preserve">　治具快速檢驗：GO／NO-GO治具、螺牙與牙距確認、治具狀態及結果記錄</w:t>
      </w:r>
    </w:p>
    <w:p>
      <w:pPr>
        <w:pStyle w:val="Heading2"/>
      </w:pPr>
      <w:r>
        <w:t>6. 抽樣檢驗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6.1</w:t>
      </w:r>
      <w:r>
        <w:rPr>
          <w:rFonts w:ascii="Calibri" w:hAnsi="Calibri" w:eastAsia="Microsoft JhengHei"/>
          <w:color w:val="1F2937"/>
          <w:sz w:val="21"/>
        </w:rPr>
        <w:t xml:space="preserve">　抽樣檢驗基本觀念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6.2</w:t>
      </w:r>
      <w:r>
        <w:rPr>
          <w:rFonts w:ascii="Calibri" w:hAnsi="Calibri" w:eastAsia="Microsoft JhengHei"/>
          <w:color w:val="1F2937"/>
          <w:sz w:val="21"/>
        </w:rPr>
        <w:t xml:space="preserve">　批量與樣本數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6.3</w:t>
      </w:r>
      <w:r>
        <w:rPr>
          <w:rFonts w:ascii="Calibri" w:hAnsi="Calibri" w:eastAsia="Microsoft JhengHei"/>
          <w:color w:val="1F2937"/>
          <w:sz w:val="21"/>
        </w:rPr>
        <w:t xml:space="preserve">　105E表正常單一抽驗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6.4</w:t>
      </w:r>
      <w:r>
        <w:rPr>
          <w:rFonts w:ascii="Calibri" w:hAnsi="Calibri" w:eastAsia="Microsoft JhengHei"/>
          <w:color w:val="1F2937"/>
          <w:sz w:val="21"/>
        </w:rPr>
        <w:t xml:space="preserve">　AQL與檢驗水準基本認識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6.5</w:t>
      </w:r>
      <w:r>
        <w:rPr>
          <w:rFonts w:ascii="Calibri" w:hAnsi="Calibri" w:eastAsia="Microsoft JhengHei"/>
          <w:color w:val="1F2937"/>
          <w:sz w:val="21"/>
        </w:rPr>
        <w:t xml:space="preserve">　抽樣位置與樣品代表性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6.6</w:t>
      </w:r>
      <w:r>
        <w:rPr>
          <w:rFonts w:ascii="Calibri" w:hAnsi="Calibri" w:eastAsia="Microsoft JhengHei"/>
          <w:color w:val="1F2937"/>
          <w:sz w:val="21"/>
        </w:rPr>
        <w:t xml:space="preserve">　發現不良時的處理方式</w:t>
      </w:r>
    </w:p>
    <w:p>
      <w:pPr>
        <w:pStyle w:val="Heading2"/>
      </w:pPr>
      <w:r>
        <w:t>7. 外部巡檢與供應商品質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7.1</w:t>
      </w:r>
      <w:r>
        <w:rPr>
          <w:rFonts w:ascii="Calibri" w:hAnsi="Calibri" w:eastAsia="Microsoft JhengHei"/>
          <w:color w:val="1F2937"/>
          <w:sz w:val="21"/>
        </w:rPr>
        <w:t xml:space="preserve">　供應商視為工廠的延伸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7.2</w:t>
      </w:r>
      <w:r>
        <w:rPr>
          <w:rFonts w:ascii="Calibri" w:hAnsi="Calibri" w:eastAsia="Microsoft JhengHei"/>
          <w:color w:val="1F2937"/>
          <w:sz w:val="21"/>
        </w:rPr>
        <w:t xml:space="preserve">　廠商巡檢單的使用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7.3</w:t>
      </w:r>
      <w:r>
        <w:rPr>
          <w:rFonts w:ascii="Calibri" w:hAnsi="Calibri" w:eastAsia="Microsoft JhengHei"/>
          <w:color w:val="1F2937"/>
          <w:sz w:val="21"/>
        </w:rPr>
        <w:t xml:space="preserve">　外部巡檢的執行方式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7.4</w:t>
      </w:r>
      <w:r>
        <w:rPr>
          <w:rFonts w:ascii="Calibri" w:hAnsi="Calibri" w:eastAsia="Microsoft JhengHei"/>
          <w:color w:val="1F2937"/>
          <w:sz w:val="21"/>
        </w:rPr>
        <w:t xml:space="preserve">　避免不良品流入公司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7.5</w:t>
      </w:r>
      <w:r>
        <w:rPr>
          <w:rFonts w:ascii="Calibri" w:hAnsi="Calibri" w:eastAsia="Microsoft JhengHei"/>
          <w:color w:val="1F2937"/>
          <w:sz w:val="21"/>
        </w:rPr>
        <w:t xml:space="preserve">　避免供應商大量生產不良品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7.6</w:t>
      </w:r>
      <w:r>
        <w:rPr>
          <w:rFonts w:ascii="Calibri" w:hAnsi="Calibri" w:eastAsia="Microsoft JhengHei"/>
          <w:color w:val="1F2937"/>
          <w:sz w:val="21"/>
        </w:rPr>
        <w:t xml:space="preserve">　減少不必要的剔選及重複測試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7.7</w:t>
      </w:r>
      <w:r>
        <w:rPr>
          <w:rFonts w:ascii="Calibri" w:hAnsi="Calibri" w:eastAsia="Microsoft JhengHei"/>
          <w:color w:val="1F2937"/>
          <w:sz w:val="21"/>
        </w:rPr>
        <w:t xml:space="preserve">　掌握供應商製程與品質狀態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7.8</w:t>
      </w:r>
      <w:r>
        <w:rPr>
          <w:rFonts w:ascii="Calibri" w:hAnsi="Calibri" w:eastAsia="Microsoft JhengHei"/>
          <w:color w:val="1F2937"/>
          <w:sz w:val="21"/>
        </w:rPr>
        <w:t xml:space="preserve">　建立供應商溝通與異常回饋渠道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7.9</w:t>
      </w:r>
      <w:r>
        <w:rPr>
          <w:rFonts w:ascii="Calibri" w:hAnsi="Calibri" w:eastAsia="Microsoft JhengHei"/>
          <w:color w:val="1F2937"/>
          <w:sz w:val="21"/>
        </w:rPr>
        <w:t xml:space="preserve">　外部巡檢與進料檢驗的配合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7.10</w:t>
      </w:r>
      <w:r>
        <w:rPr>
          <w:rFonts w:ascii="Calibri" w:hAnsi="Calibri" w:eastAsia="Microsoft JhengHei"/>
          <w:color w:val="1F2937"/>
          <w:sz w:val="21"/>
        </w:rPr>
        <w:t xml:space="preserve">　例外管理及恢復檢驗條件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Microsoft JhengHei"/>
                <w:b/>
                <w:color w:val="2E74B5"/>
                <w:sz w:val="21"/>
              </w:rPr>
              <w:t xml:space="preserve">抽驗範圍　</w:t>
            </w:r>
            <w:r>
              <w:rPr>
                <w:rFonts w:ascii="Calibri" w:hAnsi="Calibri" w:eastAsia="Microsoft JhengHei"/>
                <w:color w:val="1F2937"/>
                <w:sz w:val="21"/>
              </w:rPr>
              <w:t>本課程以105E表正常單一抽驗為主，不納入減量及加嚴抽驗。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第三篇　QC製程巡檢 IPQC</w:t>
      </w:r>
    </w:p>
    <w:p>
      <w:pPr>
        <w:pStyle w:val="Lead"/>
        <w:keepNext/>
      </w:pPr>
      <w:r>
        <w:t>在生產過程中確認人、機、料、法及關鍵品質特性，讓異常在擴大前被發現與控制。</w:t>
      </w:r>
    </w:p>
    <w:p>
      <w:pPr>
        <w:pStyle w:val="Heading2"/>
      </w:pPr>
      <w:r>
        <w:t>8. 製程巡檢基礎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8.1</w:t>
      </w:r>
      <w:r>
        <w:rPr>
          <w:rFonts w:ascii="Calibri" w:hAnsi="Calibri" w:eastAsia="Microsoft JhengHei"/>
          <w:color w:val="1F2937"/>
          <w:sz w:val="21"/>
        </w:rPr>
        <w:t xml:space="preserve">　製程巡檢的目的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8.2</w:t>
      </w:r>
      <w:r>
        <w:rPr>
          <w:rFonts w:ascii="Calibri" w:hAnsi="Calibri" w:eastAsia="Microsoft JhengHei"/>
          <w:color w:val="1F2937"/>
          <w:sz w:val="21"/>
        </w:rPr>
        <w:t xml:space="preserve">　製程巡檢與進料檢驗的差異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8.3</w:t>
      </w:r>
      <w:r>
        <w:rPr>
          <w:rFonts w:ascii="Calibri" w:hAnsi="Calibri" w:eastAsia="Microsoft JhengHei"/>
          <w:color w:val="1F2937"/>
          <w:sz w:val="21"/>
        </w:rPr>
        <w:t xml:space="preserve">　首件、巡檢及完工確認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8.4</w:t>
      </w:r>
      <w:r>
        <w:rPr>
          <w:rFonts w:ascii="Calibri" w:hAnsi="Calibri" w:eastAsia="Microsoft JhengHei"/>
          <w:color w:val="1F2937"/>
          <w:sz w:val="21"/>
        </w:rPr>
        <w:t xml:space="preserve">　生產條件與檢驗標準確認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8.5</w:t>
      </w:r>
      <w:r>
        <w:rPr>
          <w:rFonts w:ascii="Calibri" w:hAnsi="Calibri" w:eastAsia="Microsoft JhengHei"/>
          <w:color w:val="1F2937"/>
          <w:sz w:val="21"/>
        </w:rPr>
        <w:t xml:space="preserve">　製程異常的即時控制</w:t>
      </w:r>
    </w:p>
    <w:p>
      <w:pPr>
        <w:pStyle w:val="Heading2"/>
      </w:pPr>
      <w:r>
        <w:t>9. 製程巡檢範圍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9.1</w:t>
      </w:r>
      <w:r>
        <w:rPr>
          <w:rFonts w:ascii="Calibri" w:hAnsi="Calibri" w:eastAsia="Microsoft JhengHei"/>
          <w:color w:val="1F2937"/>
          <w:sz w:val="21"/>
        </w:rPr>
        <w:t xml:space="preserve">　大表巡檢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9.2</w:t>
      </w:r>
      <w:r>
        <w:rPr>
          <w:rFonts w:ascii="Calibri" w:hAnsi="Calibri" w:eastAsia="Microsoft JhengHei"/>
          <w:color w:val="1F2937"/>
          <w:sz w:val="21"/>
        </w:rPr>
        <w:t xml:space="preserve">　小表巡檢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9.3</w:t>
      </w:r>
      <w:r>
        <w:rPr>
          <w:rFonts w:ascii="Calibri" w:hAnsi="Calibri" w:eastAsia="Microsoft JhengHei"/>
          <w:color w:val="1F2937"/>
          <w:sz w:val="21"/>
        </w:rPr>
        <w:t xml:space="preserve">　內仁班巡檢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9.4</w:t>
      </w:r>
      <w:r>
        <w:rPr>
          <w:rFonts w:ascii="Calibri" w:hAnsi="Calibri" w:eastAsia="Microsoft JhengHei"/>
          <w:color w:val="1F2937"/>
          <w:sz w:val="21"/>
        </w:rPr>
        <w:t xml:space="preserve">　加工組巡檢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9.5</w:t>
      </w:r>
      <w:r>
        <w:rPr>
          <w:rFonts w:ascii="Calibri" w:hAnsi="Calibri" w:eastAsia="Microsoft JhengHei"/>
          <w:color w:val="1F2937"/>
          <w:sz w:val="21"/>
        </w:rPr>
        <w:t xml:space="preserve">　組裝班巡檢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9.6</w:t>
      </w:r>
      <w:r>
        <w:rPr>
          <w:rFonts w:ascii="Calibri" w:hAnsi="Calibri" w:eastAsia="Microsoft JhengHei"/>
          <w:color w:val="1F2937"/>
          <w:sz w:val="21"/>
        </w:rPr>
        <w:t xml:space="preserve">　製檢班巡檢</w:t>
      </w:r>
    </w:p>
    <w:p>
      <w:pPr>
        <w:pStyle w:val="Heading2"/>
      </w:pPr>
      <w:r>
        <w:t>10. 製程巡檢內容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10.1</w:t>
      </w:r>
      <w:r>
        <w:rPr>
          <w:rFonts w:ascii="Calibri" w:hAnsi="Calibri" w:eastAsia="Microsoft JhengHei"/>
          <w:color w:val="1F2937"/>
          <w:sz w:val="21"/>
        </w:rPr>
        <w:t xml:space="preserve">　料號、工單及生產批次確認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10.2</w:t>
      </w:r>
      <w:r>
        <w:rPr>
          <w:rFonts w:ascii="Calibri" w:hAnsi="Calibri" w:eastAsia="Microsoft JhengHei"/>
          <w:color w:val="1F2937"/>
          <w:sz w:val="21"/>
        </w:rPr>
        <w:t xml:space="preserve">　圖面與製程文件版本確認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10.3</w:t>
      </w:r>
      <w:r>
        <w:rPr>
          <w:rFonts w:ascii="Calibri" w:hAnsi="Calibri" w:eastAsia="Microsoft JhengHei"/>
          <w:color w:val="1F2937"/>
          <w:sz w:val="21"/>
        </w:rPr>
        <w:t xml:space="preserve">　首件與標準樣品確認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10.4</w:t>
      </w:r>
      <w:r>
        <w:rPr>
          <w:rFonts w:ascii="Calibri" w:hAnsi="Calibri" w:eastAsia="Microsoft JhengHei"/>
          <w:color w:val="1F2937"/>
          <w:sz w:val="21"/>
        </w:rPr>
        <w:t xml:space="preserve">　外觀、尺寸、裝配及功能巡檢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10.5</w:t>
      </w:r>
      <w:r>
        <w:rPr>
          <w:rFonts w:ascii="Calibri" w:hAnsi="Calibri" w:eastAsia="Microsoft JhengHei"/>
          <w:color w:val="1F2937"/>
          <w:sz w:val="21"/>
        </w:rPr>
        <w:t xml:space="preserve">　製程參數及關鍵節點確認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10.6</w:t>
      </w:r>
      <w:r>
        <w:rPr>
          <w:rFonts w:ascii="Calibri" w:hAnsi="Calibri" w:eastAsia="Microsoft JhengHei"/>
          <w:color w:val="1F2937"/>
          <w:sz w:val="21"/>
        </w:rPr>
        <w:t xml:space="preserve">　巡檢頻率與抽樣位置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10.7</w:t>
      </w:r>
      <w:r>
        <w:rPr>
          <w:rFonts w:ascii="Calibri" w:hAnsi="Calibri" w:eastAsia="Microsoft JhengHei"/>
          <w:color w:val="1F2937"/>
          <w:sz w:val="21"/>
        </w:rPr>
        <w:t xml:space="preserve">　巡檢資料記錄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10.8</w:t>
      </w:r>
      <w:r>
        <w:rPr>
          <w:rFonts w:ascii="Calibri" w:hAnsi="Calibri" w:eastAsia="Microsoft JhengHei"/>
          <w:color w:val="1F2937"/>
          <w:sz w:val="21"/>
        </w:rPr>
        <w:t xml:space="preserve">　前次異常及改善結果確認</w:t>
      </w:r>
    </w:p>
    <w:p>
      <w:pPr>
        <w:pStyle w:val="Heading2"/>
      </w:pPr>
      <w:r>
        <w:t>11. 製程異常處理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11.1</w:t>
      </w:r>
      <w:r>
        <w:rPr>
          <w:rFonts w:ascii="Calibri" w:hAnsi="Calibri" w:eastAsia="Microsoft JhengHei"/>
          <w:color w:val="1F2937"/>
          <w:sz w:val="21"/>
        </w:rPr>
        <w:t xml:space="preserve">　發現異常時停止判定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11.2</w:t>
      </w:r>
      <w:r>
        <w:rPr>
          <w:rFonts w:ascii="Calibri" w:hAnsi="Calibri" w:eastAsia="Microsoft JhengHei"/>
          <w:color w:val="1F2937"/>
          <w:sz w:val="21"/>
        </w:rPr>
        <w:t xml:space="preserve">　異常品及待確認品隔離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11.3</w:t>
      </w:r>
      <w:r>
        <w:rPr>
          <w:rFonts w:ascii="Calibri" w:hAnsi="Calibri" w:eastAsia="Microsoft JhengHei"/>
          <w:color w:val="1F2937"/>
          <w:sz w:val="21"/>
        </w:rPr>
        <w:t xml:space="preserve">　確認影響批次與時間範圍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11.4</w:t>
      </w:r>
      <w:r>
        <w:rPr>
          <w:rFonts w:ascii="Calibri" w:hAnsi="Calibri" w:eastAsia="Microsoft JhengHei"/>
          <w:color w:val="1F2937"/>
          <w:sz w:val="21"/>
        </w:rPr>
        <w:t xml:space="preserve">　通知生產單位及主管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11.5</w:t>
      </w:r>
      <w:r>
        <w:rPr>
          <w:rFonts w:ascii="Calibri" w:hAnsi="Calibri" w:eastAsia="Microsoft JhengHei"/>
          <w:color w:val="1F2937"/>
          <w:sz w:val="21"/>
        </w:rPr>
        <w:t xml:space="preserve">　已生產數量的追溯與確認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11.6</w:t>
      </w:r>
      <w:r>
        <w:rPr>
          <w:rFonts w:ascii="Calibri" w:hAnsi="Calibri" w:eastAsia="Microsoft JhengHei"/>
          <w:color w:val="1F2937"/>
          <w:sz w:val="21"/>
        </w:rPr>
        <w:t xml:space="preserve">　重工、剔選、報廢或特採處理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11.7</w:t>
      </w:r>
      <w:r>
        <w:rPr>
          <w:rFonts w:ascii="Calibri" w:hAnsi="Calibri" w:eastAsia="Microsoft JhengHei"/>
          <w:color w:val="1F2937"/>
          <w:sz w:val="21"/>
        </w:rPr>
        <w:t xml:space="preserve">　改善後首件確認及恢復生產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11.8</w:t>
      </w:r>
      <w:r>
        <w:rPr>
          <w:rFonts w:ascii="Calibri" w:hAnsi="Calibri" w:eastAsia="Microsoft JhengHei"/>
          <w:color w:val="1F2937"/>
          <w:sz w:val="21"/>
        </w:rPr>
        <w:t xml:space="preserve">　異常結果記錄與後續追蹤</w:t>
      </w:r>
    </w:p>
    <w:p>
      <w:pPr>
        <w:pStyle w:val="Heading2"/>
      </w:pPr>
      <w:r>
        <w:t>12. 製程資料與SPC基本應用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12.1</w:t>
      </w:r>
      <w:r>
        <w:rPr>
          <w:rFonts w:ascii="Calibri" w:hAnsi="Calibri" w:eastAsia="Microsoft JhengHei"/>
          <w:color w:val="1F2937"/>
          <w:sz w:val="21"/>
        </w:rPr>
        <w:t xml:space="preserve">　關鍵尺寸的選定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12.2</w:t>
      </w:r>
      <w:r>
        <w:rPr>
          <w:rFonts w:ascii="Calibri" w:hAnsi="Calibri" w:eastAsia="Microsoft JhengHei"/>
          <w:color w:val="1F2937"/>
          <w:sz w:val="21"/>
        </w:rPr>
        <w:t xml:space="preserve">　數據收集與分組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12.3</w:t>
      </w:r>
      <w:r>
        <w:rPr>
          <w:rFonts w:ascii="Calibri" w:hAnsi="Calibri" w:eastAsia="Microsoft JhengHei"/>
          <w:color w:val="1F2937"/>
          <w:sz w:val="21"/>
        </w:rPr>
        <w:t xml:space="preserve">　平均值、全距及變異觀念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12.4</w:t>
      </w:r>
      <w:r>
        <w:rPr>
          <w:rFonts w:ascii="Calibri" w:hAnsi="Calibri" w:eastAsia="Microsoft JhengHei"/>
          <w:color w:val="1F2937"/>
          <w:sz w:val="21"/>
        </w:rPr>
        <w:t xml:space="preserve">　趨勢、偏移及異常點判讀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12.5</w:t>
      </w:r>
      <w:r>
        <w:rPr>
          <w:rFonts w:ascii="Calibri" w:hAnsi="Calibri" w:eastAsia="Microsoft JhengHei"/>
          <w:color w:val="1F2937"/>
          <w:sz w:val="21"/>
        </w:rPr>
        <w:t xml:space="preserve">　管制圖基本認識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12.6</w:t>
      </w:r>
      <w:r>
        <w:rPr>
          <w:rFonts w:ascii="Calibri" w:hAnsi="Calibri" w:eastAsia="Microsoft JhengHei"/>
          <w:color w:val="1F2937"/>
          <w:sz w:val="21"/>
        </w:rPr>
        <w:t xml:space="preserve">　製程異常與規格超差的差別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12.7</w:t>
      </w:r>
      <w:r>
        <w:rPr>
          <w:rFonts w:ascii="Calibri" w:hAnsi="Calibri" w:eastAsia="Microsoft JhengHei"/>
          <w:color w:val="1F2937"/>
          <w:sz w:val="21"/>
        </w:rPr>
        <w:t xml:space="preserve">　SPC資料的記錄與回饋</w:t>
      </w:r>
    </w:p>
    <w:p>
      <w:pPr>
        <w:pStyle w:val="Heading1"/>
        <w:pageBreakBefore/>
      </w:pPr>
      <w:r>
        <w:t>第四篇　最終成品檢驗 FQC／OQC</w:t>
      </w:r>
    </w:p>
    <w:p>
      <w:pPr>
        <w:pStyle w:val="Lead"/>
        <w:keepNext/>
      </w:pPr>
      <w:r>
        <w:t>確認成品符合規格、功能及出貨要求，並保留可追溯的數據、判定與放行紀錄。</w:t>
      </w:r>
    </w:p>
    <w:p>
      <w:pPr>
        <w:pStyle w:val="Heading2"/>
      </w:pPr>
      <w:r>
        <w:t>13. 最終成品檢驗基礎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13.1</w:t>
      </w:r>
      <w:r>
        <w:rPr>
          <w:rFonts w:ascii="Calibri" w:hAnsi="Calibri" w:eastAsia="Microsoft JhengHei"/>
          <w:color w:val="1F2937"/>
          <w:sz w:val="21"/>
        </w:rPr>
        <w:t xml:space="preserve">　最終成品檢驗目的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13.2</w:t>
      </w:r>
      <w:r>
        <w:rPr>
          <w:rFonts w:ascii="Calibri" w:hAnsi="Calibri" w:eastAsia="Microsoft JhengHei"/>
          <w:color w:val="1F2937"/>
          <w:sz w:val="21"/>
        </w:rPr>
        <w:t xml:space="preserve">　最終成品檢驗作業流程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13.3</w:t>
      </w:r>
      <w:r>
        <w:rPr>
          <w:rFonts w:ascii="Calibri" w:hAnsi="Calibri" w:eastAsia="Microsoft JhengHei"/>
          <w:color w:val="1F2937"/>
          <w:sz w:val="21"/>
        </w:rPr>
        <w:t xml:space="preserve">　工單、批號、規格及版本確認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13.4</w:t>
      </w:r>
      <w:r>
        <w:rPr>
          <w:rFonts w:ascii="Calibri" w:hAnsi="Calibri" w:eastAsia="Microsoft JhengHei"/>
          <w:color w:val="1F2937"/>
          <w:sz w:val="21"/>
        </w:rPr>
        <w:t xml:space="preserve">　成品外觀、尺寸及裝配確認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13.5</w:t>
      </w:r>
      <w:r>
        <w:rPr>
          <w:rFonts w:ascii="Calibri" w:hAnsi="Calibri" w:eastAsia="Microsoft JhengHei"/>
          <w:color w:val="1F2937"/>
          <w:sz w:val="21"/>
        </w:rPr>
        <w:t xml:space="preserve">　成品功能與完整性確認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13.6</w:t>
      </w:r>
      <w:r>
        <w:rPr>
          <w:rFonts w:ascii="Calibri" w:hAnsi="Calibri" w:eastAsia="Microsoft JhengHei"/>
          <w:color w:val="1F2937"/>
          <w:sz w:val="21"/>
        </w:rPr>
        <w:t xml:space="preserve">　檢驗結果及放行狀態記錄</w:t>
      </w:r>
    </w:p>
    <w:p>
      <w:pPr>
        <w:pStyle w:val="Heading2"/>
      </w:pPr>
      <w:r>
        <w:t>14. 成品數據分析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14.1</w:t>
      </w:r>
      <w:r>
        <w:rPr>
          <w:rFonts w:ascii="Calibri" w:hAnsi="Calibri" w:eastAsia="Microsoft JhengHei"/>
          <w:color w:val="1F2937"/>
          <w:sz w:val="21"/>
        </w:rPr>
        <w:t xml:space="preserve">　WT數據分析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14.2</w:t>
      </w:r>
      <w:r>
        <w:rPr>
          <w:rFonts w:ascii="Calibri" w:hAnsi="Calibri" w:eastAsia="Microsoft JhengHei"/>
          <w:color w:val="1F2937"/>
          <w:sz w:val="21"/>
        </w:rPr>
        <w:t xml:space="preserve">　TH數據分析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14.3</w:t>
      </w:r>
      <w:r>
        <w:rPr>
          <w:rFonts w:ascii="Calibri" w:hAnsi="Calibri" w:eastAsia="Microsoft JhengHei"/>
          <w:color w:val="1F2937"/>
          <w:sz w:val="21"/>
        </w:rPr>
        <w:t xml:space="preserve">　MH數據分析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14.4</w:t>
      </w:r>
      <w:r>
        <w:rPr>
          <w:rFonts w:ascii="Calibri" w:hAnsi="Calibri" w:eastAsia="Microsoft JhengHei"/>
          <w:color w:val="1F2937"/>
          <w:sz w:val="21"/>
        </w:rPr>
        <w:t xml:space="preserve">　數據合理性與完整性確認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14.5</w:t>
      </w:r>
      <w:r>
        <w:rPr>
          <w:rFonts w:ascii="Calibri" w:hAnsi="Calibri" w:eastAsia="Microsoft JhengHei"/>
          <w:color w:val="1F2937"/>
          <w:sz w:val="21"/>
        </w:rPr>
        <w:t xml:space="preserve">　異常值、趨勢及偏移判讀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14.6</w:t>
      </w:r>
      <w:r>
        <w:rPr>
          <w:rFonts w:ascii="Calibri" w:hAnsi="Calibri" w:eastAsia="Microsoft JhengHei"/>
          <w:color w:val="1F2937"/>
          <w:sz w:val="21"/>
        </w:rPr>
        <w:t xml:space="preserve">　異常數據的複測與追蹤</w:t>
      </w:r>
    </w:p>
    <w:p>
      <w:pPr>
        <w:pStyle w:val="Heading2"/>
      </w:pPr>
      <w:r>
        <w:t>15. 介面與成品功能確認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15.1</w:t>
      </w:r>
      <w:r>
        <w:rPr>
          <w:rFonts w:ascii="Calibri" w:hAnsi="Calibri" w:eastAsia="Microsoft JhengHei"/>
          <w:color w:val="1F2937"/>
          <w:sz w:val="21"/>
        </w:rPr>
        <w:t xml:space="preserve">　顯示與操作介面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15.2</w:t>
      </w:r>
      <w:r>
        <w:rPr>
          <w:rFonts w:ascii="Calibri" w:hAnsi="Calibri" w:eastAsia="Microsoft JhengHei"/>
          <w:color w:val="1F2937"/>
          <w:sz w:val="21"/>
        </w:rPr>
        <w:t xml:space="preserve">　按鍵及控制功能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15.3</w:t>
      </w:r>
      <w:r>
        <w:rPr>
          <w:rFonts w:ascii="Calibri" w:hAnsi="Calibri" w:eastAsia="Microsoft JhengHei"/>
          <w:color w:val="1F2937"/>
          <w:sz w:val="21"/>
        </w:rPr>
        <w:t xml:space="preserve">　電源與啟動狀態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15.4</w:t>
      </w:r>
      <w:r>
        <w:rPr>
          <w:rFonts w:ascii="Calibri" w:hAnsi="Calibri" w:eastAsia="Microsoft JhengHei"/>
          <w:color w:val="1F2937"/>
          <w:sz w:val="21"/>
        </w:rPr>
        <w:t xml:space="preserve">　輸入、輸出及連接功能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15.5</w:t>
      </w:r>
      <w:r>
        <w:rPr>
          <w:rFonts w:ascii="Calibri" w:hAnsi="Calibri" w:eastAsia="Microsoft JhengHei"/>
          <w:color w:val="1F2937"/>
          <w:sz w:val="21"/>
        </w:rPr>
        <w:t xml:space="preserve">　功能測試條件與結果記錄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15.6</w:t>
      </w:r>
      <w:r>
        <w:rPr>
          <w:rFonts w:ascii="Calibri" w:hAnsi="Calibri" w:eastAsia="Microsoft JhengHei"/>
          <w:color w:val="1F2937"/>
          <w:sz w:val="21"/>
        </w:rPr>
        <w:t xml:space="preserve">　最終包裝、標示及附件確認</w:t>
      </w:r>
    </w:p>
    <w:p>
      <w:pPr>
        <w:pStyle w:val="Heading2"/>
      </w:pPr>
      <w:r>
        <w:t>16. 最終判定與放行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16.1</w:t>
      </w:r>
      <w:r>
        <w:rPr>
          <w:rFonts w:ascii="Calibri" w:hAnsi="Calibri" w:eastAsia="Microsoft JhengHei"/>
          <w:color w:val="1F2937"/>
          <w:sz w:val="21"/>
        </w:rPr>
        <w:t xml:space="preserve">　合格放行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16.2</w:t>
      </w:r>
      <w:r>
        <w:rPr>
          <w:rFonts w:ascii="Calibri" w:hAnsi="Calibri" w:eastAsia="Microsoft JhengHei"/>
          <w:color w:val="1F2937"/>
          <w:sz w:val="21"/>
        </w:rPr>
        <w:t xml:space="preserve">　不合格隔離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16.3</w:t>
      </w:r>
      <w:r>
        <w:rPr>
          <w:rFonts w:ascii="Calibri" w:hAnsi="Calibri" w:eastAsia="Microsoft JhengHei"/>
          <w:color w:val="1F2937"/>
          <w:sz w:val="21"/>
        </w:rPr>
        <w:t xml:space="preserve">　暫停放行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16.4</w:t>
      </w:r>
      <w:r>
        <w:rPr>
          <w:rFonts w:ascii="Calibri" w:hAnsi="Calibri" w:eastAsia="Microsoft JhengHei"/>
          <w:color w:val="1F2937"/>
          <w:sz w:val="21"/>
        </w:rPr>
        <w:t xml:space="preserve">　異常批次追溯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16.5</w:t>
      </w:r>
      <w:r>
        <w:rPr>
          <w:rFonts w:ascii="Calibri" w:hAnsi="Calibri" w:eastAsia="Microsoft JhengHei"/>
          <w:color w:val="1F2937"/>
          <w:sz w:val="21"/>
        </w:rPr>
        <w:t xml:space="preserve">　重工後重新檢驗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16.6</w:t>
      </w:r>
      <w:r>
        <w:rPr>
          <w:rFonts w:ascii="Calibri" w:hAnsi="Calibri" w:eastAsia="Microsoft JhengHei"/>
          <w:color w:val="1F2937"/>
          <w:sz w:val="21"/>
        </w:rPr>
        <w:t xml:space="preserve">　檢驗紀錄與成品可追溯性</w:t>
      </w:r>
    </w:p>
    <w:p>
      <w:pPr>
        <w:pStyle w:val="Heading1"/>
        <w:pageBreakBefore/>
      </w:pPr>
      <w:r>
        <w:t>第五篇　量具與檢驗設備</w:t>
      </w:r>
    </w:p>
    <w:p>
      <w:pPr>
        <w:pStyle w:val="Lead"/>
        <w:keepNext/>
      </w:pPr>
      <w:r>
        <w:t>量具課程集中於本篇，避免在進料、製程與成品檢驗課程中重複講解。</w:t>
      </w:r>
    </w:p>
    <w:p>
      <w:pPr>
        <w:pStyle w:val="Heading2"/>
      </w:pPr>
      <w:r>
        <w:t>17. 量具共同管理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17.1</w:t>
      </w:r>
      <w:r>
        <w:rPr>
          <w:rFonts w:ascii="Calibri" w:hAnsi="Calibri" w:eastAsia="Microsoft JhengHei"/>
          <w:color w:val="1F2937"/>
          <w:sz w:val="21"/>
        </w:rPr>
        <w:t xml:space="preserve">　量具選擇原則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17.2</w:t>
      </w:r>
      <w:r>
        <w:rPr>
          <w:rFonts w:ascii="Calibri" w:hAnsi="Calibri" w:eastAsia="Microsoft JhengHei"/>
          <w:color w:val="1F2937"/>
          <w:sz w:val="21"/>
        </w:rPr>
        <w:t xml:space="preserve">　量具解析度與產品公差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17.3</w:t>
      </w:r>
      <w:r>
        <w:rPr>
          <w:rFonts w:ascii="Calibri" w:hAnsi="Calibri" w:eastAsia="Microsoft JhengHei"/>
          <w:color w:val="1F2937"/>
          <w:sz w:val="21"/>
        </w:rPr>
        <w:t xml:space="preserve">　校正標籤及有效期限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17.4</w:t>
      </w:r>
      <w:r>
        <w:rPr>
          <w:rFonts w:ascii="Calibri" w:hAnsi="Calibri" w:eastAsia="Microsoft JhengHei"/>
          <w:color w:val="1F2937"/>
          <w:sz w:val="21"/>
        </w:rPr>
        <w:t xml:space="preserve">　使用前外觀與功能檢查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17.5</w:t>
      </w:r>
      <w:r>
        <w:rPr>
          <w:rFonts w:ascii="Calibri" w:hAnsi="Calibri" w:eastAsia="Microsoft JhengHei"/>
          <w:color w:val="1F2937"/>
          <w:sz w:val="21"/>
        </w:rPr>
        <w:t xml:space="preserve">　量測面清潔與零點確認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17.6</w:t>
      </w:r>
      <w:r>
        <w:rPr>
          <w:rFonts w:ascii="Calibri" w:hAnsi="Calibri" w:eastAsia="Microsoft JhengHei"/>
          <w:color w:val="1F2937"/>
          <w:sz w:val="21"/>
        </w:rPr>
        <w:t xml:space="preserve">　量測結果的重複性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17.7</w:t>
      </w:r>
      <w:r>
        <w:rPr>
          <w:rFonts w:ascii="Calibri" w:hAnsi="Calibri" w:eastAsia="Microsoft JhengHei"/>
          <w:color w:val="1F2937"/>
          <w:sz w:val="21"/>
        </w:rPr>
        <w:t xml:space="preserve">　異常量具停用、標示與送校</w:t>
      </w:r>
    </w:p>
    <w:p>
      <w:pPr>
        <w:pStyle w:val="Heading2"/>
      </w:pPr>
      <w:r>
        <w:t>18. 常用量具操作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18.1</w:t>
      </w:r>
      <w:r>
        <w:rPr>
          <w:rFonts w:ascii="Calibri" w:hAnsi="Calibri" w:eastAsia="Microsoft JhengHei"/>
          <w:color w:val="1F2937"/>
          <w:sz w:val="21"/>
        </w:rPr>
        <w:t xml:space="preserve">　傳統游標卡尺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18.2</w:t>
      </w:r>
      <w:r>
        <w:rPr>
          <w:rFonts w:ascii="Calibri" w:hAnsi="Calibri" w:eastAsia="Microsoft JhengHei"/>
          <w:color w:val="1F2937"/>
          <w:sz w:val="21"/>
        </w:rPr>
        <w:t xml:space="preserve">　錶式卡尺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18.3</w:t>
      </w:r>
      <w:r>
        <w:rPr>
          <w:rFonts w:ascii="Calibri" w:hAnsi="Calibri" w:eastAsia="Microsoft JhengHei"/>
          <w:color w:val="1F2937"/>
          <w:sz w:val="21"/>
        </w:rPr>
        <w:t xml:space="preserve">　電子式卡尺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18.4</w:t>
      </w:r>
      <w:r>
        <w:rPr>
          <w:rFonts w:ascii="Calibri" w:hAnsi="Calibri" w:eastAsia="Microsoft JhengHei"/>
          <w:color w:val="1F2937"/>
          <w:sz w:val="21"/>
        </w:rPr>
        <w:t xml:space="preserve">　外徑千分尺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18.5</w:t>
      </w:r>
      <w:r>
        <w:rPr>
          <w:rFonts w:ascii="Calibri" w:hAnsi="Calibri" w:eastAsia="Microsoft JhengHei"/>
          <w:color w:val="1F2937"/>
          <w:sz w:val="21"/>
        </w:rPr>
        <w:t xml:space="preserve">　高度規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18.6</w:t>
      </w:r>
      <w:r>
        <w:rPr>
          <w:rFonts w:ascii="Calibri" w:hAnsi="Calibri" w:eastAsia="Microsoft JhengHei"/>
          <w:color w:val="1F2937"/>
          <w:sz w:val="21"/>
        </w:rPr>
        <w:t xml:space="preserve">　膜厚計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18.7</w:t>
      </w:r>
      <w:r>
        <w:rPr>
          <w:rFonts w:ascii="Calibri" w:hAnsi="Calibri" w:eastAsia="Microsoft JhengHei"/>
          <w:color w:val="1F2937"/>
          <w:sz w:val="21"/>
        </w:rPr>
        <w:t xml:space="preserve">　GO／NO-GO治具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18.8</w:t>
      </w:r>
      <w:r>
        <w:rPr>
          <w:rFonts w:ascii="Calibri" w:hAnsi="Calibri" w:eastAsia="Microsoft JhengHei"/>
          <w:color w:val="1F2937"/>
          <w:sz w:val="21"/>
        </w:rPr>
        <w:t xml:space="preserve">　2D掃描機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18.9</w:t>
      </w:r>
      <w:r>
        <w:rPr>
          <w:rFonts w:ascii="Calibri" w:hAnsi="Calibri" w:eastAsia="Microsoft JhengHei"/>
          <w:color w:val="1F2937"/>
          <w:sz w:val="21"/>
        </w:rPr>
        <w:t xml:space="preserve">　3D掃描儀／三次元</w:t>
      </w:r>
    </w:p>
    <w:p>
      <w:pPr>
        <w:pStyle w:val="Heading2"/>
      </w:pPr>
      <w:r>
        <w:t>19. 卡尺外徑量測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19.1</w:t>
      </w:r>
      <w:r>
        <w:rPr>
          <w:rFonts w:ascii="Calibri" w:hAnsi="Calibri" w:eastAsia="Microsoft JhengHei"/>
          <w:color w:val="1F2937"/>
          <w:sz w:val="21"/>
        </w:rPr>
        <w:t xml:space="preserve">　外爪清潔、平整度及密合度確認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19.2</w:t>
      </w:r>
      <w:r>
        <w:rPr>
          <w:rFonts w:ascii="Calibri" w:hAnsi="Calibri" w:eastAsia="Microsoft JhengHei"/>
          <w:color w:val="1F2937"/>
          <w:sz w:val="21"/>
        </w:rPr>
        <w:t xml:space="preserve">　圓柱體外徑量測方式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19.3</w:t>
      </w:r>
      <w:r>
        <w:rPr>
          <w:rFonts w:ascii="Calibri" w:hAnsi="Calibri" w:eastAsia="Microsoft JhengHei"/>
          <w:color w:val="1F2937"/>
          <w:sz w:val="21"/>
        </w:rPr>
        <w:t xml:space="preserve">　尋找最大直徑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19.4</w:t>
      </w:r>
      <w:r>
        <w:rPr>
          <w:rFonts w:ascii="Calibri" w:hAnsi="Calibri" w:eastAsia="Microsoft JhengHei"/>
          <w:color w:val="1F2937"/>
          <w:sz w:val="21"/>
        </w:rPr>
        <w:t xml:space="preserve">　上、下、左、右四點量測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19.5</w:t>
      </w:r>
      <w:r>
        <w:rPr>
          <w:rFonts w:ascii="Calibri" w:hAnsi="Calibri" w:eastAsia="Microsoft JhengHei"/>
          <w:color w:val="1F2937"/>
          <w:sz w:val="21"/>
        </w:rPr>
        <w:t xml:space="preserve">　兩個方向量測結果比較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19.6</w:t>
      </w:r>
      <w:r>
        <w:rPr>
          <w:rFonts w:ascii="Calibri" w:hAnsi="Calibri" w:eastAsia="Microsoft JhengHei"/>
          <w:color w:val="1F2937"/>
          <w:sz w:val="21"/>
        </w:rPr>
        <w:t xml:space="preserve">　傳統游標卡尺刻度讀值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19.7</w:t>
      </w:r>
      <w:r>
        <w:rPr>
          <w:rFonts w:ascii="Calibri" w:hAnsi="Calibri" w:eastAsia="Microsoft JhengHei"/>
          <w:color w:val="1F2937"/>
          <w:sz w:val="21"/>
        </w:rPr>
        <w:t xml:space="preserve">　電子式卡尺開機與歸零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19.8</w:t>
      </w:r>
      <w:r>
        <w:rPr>
          <w:rFonts w:ascii="Calibri" w:hAnsi="Calibri" w:eastAsia="Microsoft JhengHei"/>
          <w:color w:val="1F2937"/>
          <w:sz w:val="21"/>
        </w:rPr>
        <w:t xml:space="preserve">　ZERO／ABS與ORIGIN按鈕管理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19.9</w:t>
      </w:r>
      <w:r>
        <w:rPr>
          <w:rFonts w:ascii="Calibri" w:hAnsi="Calibri" w:eastAsia="Microsoft JhengHei"/>
          <w:color w:val="1F2937"/>
          <w:sz w:val="21"/>
        </w:rPr>
        <w:t xml:space="preserve">　閉合後非0.00 mm的異常處理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19.10</w:t>
      </w:r>
      <w:r>
        <w:rPr>
          <w:rFonts w:ascii="Calibri" w:hAnsi="Calibri" w:eastAsia="Microsoft JhengHei"/>
          <w:color w:val="1F2937"/>
          <w:sz w:val="21"/>
        </w:rPr>
        <w:t xml:space="preserve">　量測結果記錄</w:t>
      </w:r>
    </w:p>
    <w:p>
      <w:pPr>
        <w:pStyle w:val="Heading1"/>
        <w:pageBreakBefore/>
      </w:pPr>
      <w:r>
        <w:t>第六篇　品質資料與常用品質手法</w:t>
      </w:r>
    </w:p>
    <w:p>
      <w:pPr>
        <w:pStyle w:val="Lead"/>
        <w:keepNext/>
      </w:pPr>
      <w:r>
        <w:t>只納入公司工作中較常使用的工具；計數類資料與方法另行標註。</w:t>
      </w:r>
    </w:p>
    <w:p>
      <w:pPr>
        <w:pStyle w:val="Heading2"/>
      </w:pPr>
      <w:r>
        <w:t>20. 常用統計與品質工具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20.1</w:t>
      </w:r>
      <w:r>
        <w:rPr>
          <w:rFonts w:ascii="Calibri" w:hAnsi="Calibri" w:eastAsia="Microsoft JhengHei"/>
          <w:color w:val="1F2937"/>
          <w:sz w:val="21"/>
        </w:rPr>
        <w:t xml:space="preserve">　檢查表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20.2</w:t>
      </w:r>
      <w:r>
        <w:rPr>
          <w:rFonts w:ascii="Calibri" w:hAnsi="Calibri" w:eastAsia="Microsoft JhengHei"/>
          <w:color w:val="1F2937"/>
          <w:sz w:val="21"/>
        </w:rPr>
        <w:t xml:space="preserve">　柏拉圖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20.3</w:t>
      </w:r>
      <w:r>
        <w:rPr>
          <w:rFonts w:ascii="Calibri" w:hAnsi="Calibri" w:eastAsia="Microsoft JhengHei"/>
          <w:color w:val="1F2937"/>
          <w:sz w:val="21"/>
        </w:rPr>
        <w:t xml:space="preserve">　層別法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20.4</w:t>
      </w:r>
      <w:r>
        <w:rPr>
          <w:rFonts w:ascii="Calibri" w:hAnsi="Calibri" w:eastAsia="Microsoft JhengHei"/>
          <w:color w:val="1F2937"/>
          <w:sz w:val="21"/>
        </w:rPr>
        <w:t xml:space="preserve">　直方圖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20.5</w:t>
      </w:r>
      <w:r>
        <w:rPr>
          <w:rFonts w:ascii="Calibri" w:hAnsi="Calibri" w:eastAsia="Microsoft JhengHei"/>
          <w:color w:val="1F2937"/>
          <w:sz w:val="21"/>
        </w:rPr>
        <w:t xml:space="preserve">　管制圖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20.6</w:t>
      </w:r>
      <w:r>
        <w:rPr>
          <w:rFonts w:ascii="Calibri" w:hAnsi="Calibri" w:eastAsia="Microsoft JhengHei"/>
          <w:color w:val="1F2937"/>
          <w:sz w:val="21"/>
        </w:rPr>
        <w:t xml:space="preserve">　魚骨圖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20.7</w:t>
      </w:r>
      <w:r>
        <w:rPr>
          <w:rFonts w:ascii="Calibri" w:hAnsi="Calibri" w:eastAsia="Microsoft JhengHei"/>
          <w:color w:val="1F2937"/>
          <w:sz w:val="21"/>
        </w:rPr>
        <w:t xml:space="preserve">　趨勢圖及基本數據比較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Microsoft JhengHei"/>
                <w:b/>
                <w:color w:val="2E74B5"/>
                <w:sz w:val="21"/>
              </w:rPr>
              <w:t xml:space="preserve">計數類標註　</w:t>
            </w:r>
            <w:r>
              <w:rPr>
                <w:rFonts w:ascii="Calibri" w:hAnsi="Calibri" w:eastAsia="Microsoft JhengHei"/>
                <w:color w:val="1F2937"/>
                <w:sz w:val="21"/>
              </w:rPr>
              <w:t>公司較少使用計數類資料；涉及不良數、不良率、缺點數等內容時，於教材中另外標註。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第七篇　公司系統與表單</w:t>
      </w:r>
    </w:p>
    <w:p>
      <w:pPr>
        <w:pStyle w:val="Lead"/>
        <w:keepNext/>
      </w:pPr>
      <w:r>
        <w:t>本篇以認識系統入口、文件位置及基本操作為主，不進行過度延伸。</w:t>
      </w:r>
    </w:p>
    <w:p>
      <w:pPr>
        <w:pStyle w:val="Heading2"/>
      </w:pPr>
      <w:r>
        <w:t>21. 系統操作概述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21.1</w:t>
      </w:r>
      <w:r>
        <w:rPr>
          <w:rFonts w:ascii="Calibri" w:hAnsi="Calibri" w:eastAsia="Microsoft JhengHei"/>
          <w:color w:val="1F2937"/>
          <w:sz w:val="21"/>
        </w:rPr>
        <w:t xml:space="preserve">　BPM簽核表單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21.2</w:t>
      </w:r>
      <w:r>
        <w:rPr>
          <w:rFonts w:ascii="Calibri" w:hAnsi="Calibri" w:eastAsia="Microsoft JhengHei"/>
          <w:color w:val="1F2937"/>
          <w:sz w:val="21"/>
        </w:rPr>
        <w:t xml:space="preserve">　差旅、請假及公司流程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21.3</w:t>
      </w:r>
      <w:r>
        <w:rPr>
          <w:rFonts w:ascii="Calibri" w:hAnsi="Calibri" w:eastAsia="Microsoft JhengHei"/>
          <w:color w:val="1F2937"/>
          <w:sz w:val="21"/>
        </w:rPr>
        <w:t xml:space="preserve">　ISO文件管理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21.4</w:t>
      </w:r>
      <w:r>
        <w:rPr>
          <w:rFonts w:ascii="Calibri" w:hAnsi="Calibri" w:eastAsia="Microsoft JhengHei"/>
          <w:color w:val="1F2937"/>
          <w:sz w:val="21"/>
        </w:rPr>
        <w:t xml:space="preserve">　品質系統基本操作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21.5</w:t>
      </w:r>
      <w:r>
        <w:rPr>
          <w:rFonts w:ascii="Calibri" w:hAnsi="Calibri" w:eastAsia="Microsoft JhengHei"/>
          <w:color w:val="1F2937"/>
          <w:sz w:val="21"/>
        </w:rPr>
        <w:t xml:space="preserve">　IQC進貨檢驗系統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21.6</w:t>
      </w:r>
      <w:r>
        <w:rPr>
          <w:rFonts w:ascii="Calibri" w:hAnsi="Calibri" w:eastAsia="Microsoft JhengHei"/>
          <w:color w:val="1F2937"/>
          <w:sz w:val="21"/>
        </w:rPr>
        <w:t xml:space="preserve">　QC巡檢單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21.7</w:t>
      </w:r>
      <w:r>
        <w:rPr>
          <w:rFonts w:ascii="Calibri" w:hAnsi="Calibri" w:eastAsia="Microsoft JhengHei"/>
          <w:color w:val="1F2937"/>
          <w:sz w:val="21"/>
        </w:rPr>
        <w:t xml:space="preserve">　SPC圖表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21.8</w:t>
      </w:r>
      <w:r>
        <w:rPr>
          <w:rFonts w:ascii="Calibri" w:hAnsi="Calibri" w:eastAsia="Microsoft JhengHei"/>
          <w:color w:val="1F2937"/>
          <w:sz w:val="21"/>
        </w:rPr>
        <w:t xml:space="preserve">　檢驗紀錄查詢與追溯</w:t>
      </w:r>
    </w:p>
    <w:p>
      <w:pPr>
        <w:pStyle w:val="Heading1"/>
        <w:pageBreakBefore/>
      </w:pPr>
      <w:r>
        <w:t>第八篇　實作與課後作業</w:t>
      </w:r>
    </w:p>
    <w:p>
      <w:pPr>
        <w:pStyle w:val="Lead"/>
        <w:keepNext/>
      </w:pPr>
      <w:r>
        <w:t>以實際量測、表單與案例確認受訓人員能將標準、資料、判定及異常處理連結起來。</w:t>
      </w:r>
    </w:p>
    <w:p>
      <w:pPr>
        <w:pStyle w:val="Heading2"/>
      </w:pPr>
      <w:r>
        <w:t>22. 實作項目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22.1</w:t>
      </w:r>
      <w:r>
        <w:rPr>
          <w:rFonts w:ascii="Calibri" w:hAnsi="Calibri" w:eastAsia="Microsoft JhengHei"/>
          <w:color w:val="1F2937"/>
          <w:sz w:val="21"/>
        </w:rPr>
        <w:t xml:space="preserve">　圖面與檢驗規格確認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22.2</w:t>
      </w:r>
      <w:r>
        <w:rPr>
          <w:rFonts w:ascii="Calibri" w:hAnsi="Calibri" w:eastAsia="Microsoft JhengHei"/>
          <w:color w:val="1F2937"/>
          <w:sz w:val="21"/>
        </w:rPr>
        <w:t xml:space="preserve">　卡尺外徑量測與讀值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22.3</w:t>
      </w:r>
      <w:r>
        <w:rPr>
          <w:rFonts w:ascii="Calibri" w:hAnsi="Calibri" w:eastAsia="Microsoft JhengHei"/>
          <w:color w:val="1F2937"/>
          <w:sz w:val="21"/>
        </w:rPr>
        <w:t xml:space="preserve">　GO／NO-GO治具操作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22.4</w:t>
      </w:r>
      <w:r>
        <w:rPr>
          <w:rFonts w:ascii="Calibri" w:hAnsi="Calibri" w:eastAsia="Microsoft JhengHei"/>
          <w:color w:val="1F2937"/>
          <w:sz w:val="21"/>
        </w:rPr>
        <w:t xml:space="preserve">　105E正常單一抽驗查表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22.5</w:t>
      </w:r>
      <w:r>
        <w:rPr>
          <w:rFonts w:ascii="Calibri" w:hAnsi="Calibri" w:eastAsia="Microsoft JhengHei"/>
          <w:color w:val="1F2937"/>
          <w:sz w:val="21"/>
        </w:rPr>
        <w:t xml:space="preserve">　IQC檢驗紀錄填寫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22.6</w:t>
      </w:r>
      <w:r>
        <w:rPr>
          <w:rFonts w:ascii="Calibri" w:hAnsi="Calibri" w:eastAsia="Microsoft JhengHei"/>
          <w:color w:val="1F2937"/>
          <w:sz w:val="21"/>
        </w:rPr>
        <w:t xml:space="preserve">　製程巡檢紀錄填寫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22.7</w:t>
      </w:r>
      <w:r>
        <w:rPr>
          <w:rFonts w:ascii="Calibri" w:hAnsi="Calibri" w:eastAsia="Microsoft JhengHei"/>
          <w:color w:val="1F2937"/>
          <w:sz w:val="21"/>
        </w:rPr>
        <w:t xml:space="preserve">　成品功能及數據判定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22.8</w:t>
      </w:r>
      <w:r>
        <w:rPr>
          <w:rFonts w:ascii="Calibri" w:hAnsi="Calibri" w:eastAsia="Microsoft JhengHei"/>
          <w:color w:val="1F2937"/>
          <w:sz w:val="21"/>
        </w:rPr>
        <w:t xml:space="preserve">　品質異常隔離與通報演練</w:t>
      </w:r>
    </w:p>
    <w:p>
      <w:pPr>
        <w:pStyle w:val="Heading2"/>
      </w:pPr>
      <w:r>
        <w:t>23. 課後作業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23.1</w:t>
      </w:r>
      <w:r>
        <w:rPr>
          <w:rFonts w:ascii="Calibri" w:hAnsi="Calibri" w:eastAsia="Microsoft JhengHei"/>
          <w:color w:val="1F2937"/>
          <w:sz w:val="21"/>
        </w:rPr>
        <w:t xml:space="preserve">　選擇一項實際檢驗或異常案例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23.2</w:t>
      </w:r>
      <w:r>
        <w:rPr>
          <w:rFonts w:ascii="Calibri" w:hAnsi="Calibri" w:eastAsia="Microsoft JhengHei"/>
          <w:color w:val="1F2937"/>
          <w:sz w:val="21"/>
        </w:rPr>
        <w:t xml:space="preserve">　定義問題與目標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23.3</w:t>
      </w:r>
      <w:r>
        <w:rPr>
          <w:rFonts w:ascii="Calibri" w:hAnsi="Calibri" w:eastAsia="Microsoft JhengHei"/>
          <w:color w:val="1F2937"/>
          <w:sz w:val="21"/>
        </w:rPr>
        <w:t xml:space="preserve">　收集並整理必要資料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23.4</w:t>
      </w:r>
      <w:r>
        <w:rPr>
          <w:rFonts w:ascii="Calibri" w:hAnsi="Calibri" w:eastAsia="Microsoft JhengHei"/>
          <w:color w:val="1F2937"/>
          <w:sz w:val="21"/>
        </w:rPr>
        <w:t xml:space="preserve">　確認影響範圍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23.5</w:t>
      </w:r>
      <w:r>
        <w:rPr>
          <w:rFonts w:ascii="Calibri" w:hAnsi="Calibri" w:eastAsia="Microsoft JhengHei"/>
          <w:color w:val="1F2937"/>
          <w:sz w:val="21"/>
        </w:rPr>
        <w:t xml:space="preserve">　說明檢驗或驗證結果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23.6</w:t>
      </w:r>
      <w:r>
        <w:rPr>
          <w:rFonts w:ascii="Calibri" w:hAnsi="Calibri" w:eastAsia="Microsoft JhengHei"/>
          <w:color w:val="1F2937"/>
          <w:sz w:val="21"/>
        </w:rPr>
        <w:t xml:space="preserve">　記錄異常處理方式</w:t>
      </w:r>
    </w:p>
    <w:p>
      <w:pPr>
        <w:pStyle w:val="CurriculumItem"/>
        <w:keepLines/>
      </w:pPr>
      <w:r>
        <w:rPr>
          <w:rFonts w:ascii="Calibri" w:hAnsi="Calibri" w:eastAsia="Microsoft JhengHei"/>
          <w:b/>
          <w:color w:val="1F4D78"/>
          <w:sz w:val="21"/>
        </w:rPr>
        <w:t>23.7</w:t>
      </w:r>
      <w:r>
        <w:rPr>
          <w:rFonts w:ascii="Calibri" w:hAnsi="Calibri" w:eastAsia="Microsoft JhengHei"/>
          <w:color w:val="1F2937"/>
          <w:sz w:val="21"/>
        </w:rPr>
        <w:t xml:space="preserve">　追蹤改善結果</w:t>
      </w:r>
    </w:p>
    <w:p>
      <w:pPr>
        <w:pStyle w:val="Heading1"/>
        <w:pageBreakBefore/>
      </w:pPr>
      <w:r>
        <w:t>文件使用說明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Microsoft JhengHei"/>
                <w:b/>
                <w:color w:val="2E74B5"/>
                <w:sz w:val="21"/>
              </w:rPr>
              <w:t xml:space="preserve">課綱整合原則　</w:t>
            </w:r>
            <w:r>
              <w:rPr>
                <w:rFonts w:ascii="Calibri" w:hAnsi="Calibri" w:eastAsia="Microsoft JhengHei"/>
                <w:color w:val="1F2937"/>
                <w:sz w:val="21"/>
              </w:rPr>
              <w:t>重複內容集中於共同基礎、量具及品質工具；進料、製程與最終成品課程只保留各階段特有的作業內容。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87A10"/>
          <w:left w:val="single" w:sz="8" w:space="0" w:color="A87A10"/>
          <w:bottom w:val="single" w:sz="8" w:space="0" w:color="A87A10"/>
          <w:right w:val="single" w:sz="8" w:space="0" w:color="A87A10"/>
          <w:insideH w:val="single" w:sz="8" w:space="0" w:color="A87A10"/>
          <w:insideV w:val="single" w:sz="8" w:space="0" w:color="A87A10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8E8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Microsoft JhengHei"/>
                <w:b/>
                <w:color w:val="A87A10"/>
                <w:sz w:val="21"/>
              </w:rPr>
              <w:t xml:space="preserve">獨立教材　</w:t>
            </w:r>
            <w:r>
              <w:rPr>
                <w:rFonts w:ascii="Calibri" w:hAnsi="Calibri" w:eastAsia="Microsoft JhengHei"/>
                <w:color w:val="1F2937"/>
                <w:sz w:val="21"/>
              </w:rPr>
              <w:t>「進料檢驗流程改革」及完整的「彙整資料與邏輯分析」維持獨立教材，不併入本課綱。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Calibri" w:hAnsi="Calibri" w:eastAsia="Microsoft JhengHei"/>
        <w:color w:val="667085"/>
        <w:sz w:val="18"/>
      </w:rPr>
      <w:t xml:space="preserve">第 </w:t>
    </w:r>
    <w:r>
      <w:rPr>
        <w:rFonts w:ascii="Calibri" w:hAnsi="Calibri" w:eastAsia="Microsoft JhengHei"/>
        <w:color w:val="667085"/>
        <w:sz w:val="18"/>
      </w:rPr>
      <w:fldChar w:fldCharType="begin"/>
      <w:instrText xml:space="preserve"> PAGE </w:instrText>
      <w:fldChar w:fldCharType="end"/>
    </w:r>
    <w:r>
      <w:rPr>
        <w:rFonts w:ascii="Calibri" w:hAnsi="Calibri" w:eastAsia="Microsoft JhengHei"/>
        <w:color w:val="667085"/>
        <w:sz w:val="18"/>
      </w:rP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Calibri" w:hAnsi="Calibri" w:eastAsia="Microsoft JhengHei"/>
        <w:color w:val="667085"/>
        <w:sz w:val="18"/>
      </w:rPr>
      <w:t>品檢組教育訓練課綱  |  討論版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 w:eastAsia="Microsoft JhengHe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JhengHei"/>
      <w:b w:val="0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Jheng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Jheng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Jheng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 w:eastAsia="Microsoft JhengHei"/>
      <w:b/>
      <w:color w:val="1F4D78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/>
    </w:pPr>
    <w:rPr>
      <w:rFonts w:asciiTheme="majorHAnsi" w:eastAsiaTheme="majorEastAsia" w:hAnsiTheme="majorHAnsi" w:cstheme="majorBidi" w:ascii="Calibri" w:hAnsi="Calibri" w:eastAsia="Microsoft JhengHei"/>
      <w:b w:val="0"/>
      <w:i/>
      <w:iCs/>
      <w:color w:val="667085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00" w:line="300" w:lineRule="auto"/>
    </w:pPr>
    <w:rPr>
      <w:rFonts w:ascii="Calibri" w:hAnsi="Calibri" w:eastAsia="Microsoft JhengHei"/>
      <w:b w:val="0"/>
      <w:color w:val="667085"/>
      <w:sz w:val="22"/>
    </w:rPr>
  </w:style>
  <w:style w:type="paragraph" w:customStyle="1" w:styleId="CurriculumItem">
    <w:name w:val="Curriculum Item"/>
    <w:pPr>
      <w:spacing w:before="0" w:after="80" w:line="276" w:lineRule="auto"/>
      <w:ind w:left="259" w:hanging="259"/>
    </w:pPr>
    <w:rPr>
      <w:rFonts w:ascii="Calibri" w:hAnsi="Calibri" w:eastAsia="Microsoft JhengHei"/>
      <w:b w:val="0"/>
      <w:color w:val="1F2937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品檢組教育訓練課綱｜進料至最終成品</dc:title>
  <dc:subject>IQC、IPQC、FQC/OQC教育訓練課綱</dc:subject>
  <dc:creator>品質管理</dc:creator>
  <cp:keywords>品檢, IQC, IPQC, FQC, OQC, 教育訓練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