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700"/>
      </w:pPr>
    </w:p>
    <w:p>
      <w:pPr>
        <w:jc w:val="center"/>
      </w:pPr>
      <w:r>
        <w:rPr>
          <w:rFonts w:ascii="Calibri" w:hAnsi="Calibri" w:eastAsia="Microsoft JhengHei"/>
          <w:b/>
          <w:color w:val="2E74B5"/>
          <w:sz w:val="26"/>
        </w:rPr>
        <w:t>品檢組</w:t>
      </w:r>
    </w:p>
    <w:p>
      <w:pPr>
        <w:spacing w:after="200"/>
        <w:jc w:val="center"/>
      </w:pPr>
      <w:r>
        <w:rPr>
          <w:rFonts w:ascii="Calibri" w:hAnsi="Calibri" w:eastAsia="Microsoft JhengHei"/>
          <w:b/>
          <w:color w:val="1F4D78"/>
          <w:sz w:val="56"/>
        </w:rPr>
        <w:t>進料檢驗新人教育手冊</w:t>
      </w:r>
    </w:p>
    <w:p>
      <w:pPr>
        <w:spacing w:after="680"/>
        <w:jc w:val="center"/>
      </w:pPr>
      <w:r>
        <w:rPr>
          <w:rFonts w:ascii="Calibri" w:hAnsi="Calibri" w:eastAsia="Microsoft JhengHei"/>
          <w:b w:val="0"/>
          <w:color w:val="666666"/>
          <w:sz w:val="26"/>
        </w:rPr>
        <w:t>Incoming Quality Control（IQC）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訓練目標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建立正確的進料檢驗觀念、操作順序、判定依據、量測紀錄與異常處置能力。</w:t>
            </w:r>
          </w:p>
        </w:tc>
      </w:tr>
    </w:tbl>
    <w:p>
      <w:pPr>
        <w:spacing w:after="20"/>
      </w:pPr>
    </w:p>
    <w:p>
      <w:pPr>
        <w:spacing w:after="1600"/>
      </w:pP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文件資料</w:t>
            </w:r>
          </w:p>
        </w:tc>
        <w:tc>
          <w:tcPr>
            <w:tcW w:type="dxa" w:w="66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內容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  <w:t>適用對象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  <w:t>品檢組新進人員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  <w:t>版本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  <w:t>修訂版10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  <w:t>生效日期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  <w:t>____年____月____日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  <w:t>編製／審核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  <w:t>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　進料檢驗基本觀念</w:t>
      </w:r>
    </w:p>
    <w:p>
      <w:pPr>
        <w:pStyle w:val="Heading2"/>
      </w:pPr>
      <w:r>
        <w:t>1.1 目的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確保供應商交付的物料符合圖面、規格書、承認樣品及採購要求。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防止不合格物料流入生產線，降低重工、停線、客訴與品質成本。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留下可追溯的檢驗紀錄，作為供應商管理與異常改善依據。</w:t>
      </w:r>
    </w:p>
    <w:p>
      <w:pPr>
        <w:pStyle w:val="Heading2"/>
      </w:pPr>
      <w:r>
        <w:t>1.2 品檢員的基本責任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依最新版圖面、規格及檢驗標準執行，不憑印象判定。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確認量具狀態、校驗有效期與量測方法。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如實記錄原始數據，不挑數據、不修改數據、不補造紀錄。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發現異常立即標示、隔離並通報，不讓狀態不明的物料流入現場。</w:t>
      </w:r>
    </w:p>
    <w:p>
      <w:pPr>
        <w:pStyle w:val="Heading2"/>
      </w:pPr>
      <w:r>
        <w:t>1.3 檢驗前應備資料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資料／工具</w:t>
            </w:r>
          </w:p>
        </w:tc>
        <w:tc>
          <w:tcPr>
            <w:tcW w:type="dxa" w:w="66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確認重點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採購／送貨資料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供應商、品名、料號、數量、批號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圖面／規格書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版本、尺寸、公差、材質、功能要求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承認樣品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外觀、顏色、印刷及組裝比對基準</w:t>
            </w:r>
          </w:p>
        </w:tc>
      </w:tr>
      <w:tr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檢驗規範</w:t>
            </w:r>
          </w:p>
        </w:tc>
        <w:tc>
          <w:tcPr>
            <w:tcW w:type="dxa" w:w="6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抽樣方式、檢驗項目、允收標準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量具／治具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校驗有效、歸零正常、解析度適當</w:t>
            </w:r>
          </w:p>
        </w:tc>
      </w:tr>
    </w:tbl>
    <w:p>
      <w:pPr>
        <w:spacing w:after="20"/>
      </w:pP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2CC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806000"/>
                <w:sz w:val="21"/>
              </w:rPr>
              <w:t xml:space="preserve">重要原則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進料檢驗規範版本與圖面版本不符、量具失效或判定標準不清時，先停止檢驗與判定，並向主管確認。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2　標準檢驗流程</w:t>
      </w:r>
    </w:p>
    <w:p>
      <w:pPr>
        <w:pStyle w:val="ListNumber"/>
        <w:spacing w:after="100" w:line="283" w:lineRule="auto"/>
      </w:pPr>
      <w:r>
        <w:rPr>
          <w:rFonts w:ascii="Calibri" w:hAnsi="Calibri" w:eastAsia="Microsoft JhengHei"/>
          <w:b/>
          <w:color w:val="1F4D78"/>
          <w:sz w:val="21"/>
        </w:rPr>
        <w:t>接收與核對：</w:t>
      </w:r>
      <w:r>
        <w:rPr>
          <w:rFonts w:ascii="Calibri" w:hAnsi="Calibri" w:eastAsia="Microsoft JhengHei"/>
          <w:b w:val="0"/>
          <w:color w:val="000000"/>
          <w:sz w:val="21"/>
        </w:rPr>
        <w:t>核對供應商、料號、品名、數量、批號、包裝及隨附文件。</w:t>
      </w:r>
    </w:p>
    <w:p>
      <w:pPr>
        <w:pStyle w:val="ListNumber"/>
        <w:spacing w:after="100" w:line="283" w:lineRule="auto"/>
      </w:pPr>
      <w:r>
        <w:rPr>
          <w:rFonts w:ascii="Calibri" w:hAnsi="Calibri" w:eastAsia="Microsoft JhengHei"/>
          <w:b/>
          <w:color w:val="1F4D78"/>
          <w:sz w:val="21"/>
        </w:rPr>
        <w:t>確認檢驗依據：</w:t>
      </w:r>
      <w:r>
        <w:rPr>
          <w:rFonts w:ascii="Calibri" w:hAnsi="Calibri" w:eastAsia="Microsoft JhengHei"/>
          <w:b w:val="0"/>
          <w:color w:val="000000"/>
          <w:sz w:val="21"/>
        </w:rPr>
        <w:t>取得最新版圖面、規格、承認樣品及檢驗規範。</w:t>
      </w:r>
    </w:p>
    <w:p>
      <w:pPr>
        <w:pStyle w:val="ListNumber"/>
        <w:spacing w:after="100" w:line="283" w:lineRule="auto"/>
      </w:pPr>
      <w:r>
        <w:rPr>
          <w:rFonts w:ascii="Calibri" w:hAnsi="Calibri" w:eastAsia="Microsoft JhengHei"/>
          <w:b/>
          <w:color w:val="1F4D78"/>
          <w:sz w:val="21"/>
        </w:rPr>
        <w:t>確認抽樣與量具：</w:t>
      </w:r>
      <w:r>
        <w:rPr>
          <w:rFonts w:ascii="Calibri" w:hAnsi="Calibri" w:eastAsia="Microsoft JhengHei"/>
          <w:b w:val="0"/>
          <w:color w:val="000000"/>
          <w:sz w:val="21"/>
        </w:rPr>
        <w:t>依公司抽樣規定取樣；確認量具清潔、歸零及校驗狀態。</w:t>
      </w:r>
    </w:p>
    <w:p>
      <w:pPr>
        <w:pStyle w:val="ListNumber"/>
        <w:spacing w:after="100" w:line="283" w:lineRule="auto"/>
      </w:pPr>
      <w:r>
        <w:rPr>
          <w:rFonts w:ascii="Calibri" w:hAnsi="Calibri" w:eastAsia="Microsoft JhengHei"/>
          <w:b/>
          <w:color w:val="1F4D78"/>
          <w:sz w:val="21"/>
        </w:rPr>
        <w:t>執行檢驗：</w:t>
      </w:r>
      <w:r>
        <w:rPr>
          <w:rFonts w:ascii="Calibri" w:hAnsi="Calibri" w:eastAsia="Microsoft JhengHei"/>
          <w:b w:val="0"/>
          <w:color w:val="000000"/>
          <w:sz w:val="21"/>
        </w:rPr>
        <w:t>依順序完成外觀、尺寸、材質／標示、裝配或功能確認。</w:t>
      </w:r>
    </w:p>
    <w:p>
      <w:pPr>
        <w:pStyle w:val="ListNumber"/>
        <w:spacing w:after="100" w:line="283" w:lineRule="auto"/>
      </w:pPr>
      <w:r>
        <w:rPr>
          <w:rFonts w:ascii="Calibri" w:hAnsi="Calibri" w:eastAsia="Microsoft JhengHei"/>
          <w:b/>
          <w:color w:val="1F4D78"/>
          <w:sz w:val="21"/>
        </w:rPr>
        <w:t>記錄數據：</w:t>
      </w:r>
      <w:r>
        <w:rPr>
          <w:rFonts w:ascii="Calibri" w:hAnsi="Calibri" w:eastAsia="Microsoft JhengHei"/>
          <w:b w:val="0"/>
          <w:color w:val="000000"/>
          <w:sz w:val="21"/>
        </w:rPr>
        <w:t>記錄實際量測值、最大值、最小值及必要備註。</w:t>
      </w:r>
    </w:p>
    <w:p>
      <w:pPr>
        <w:pStyle w:val="ListNumber"/>
        <w:spacing w:after="100" w:line="283" w:lineRule="auto"/>
      </w:pPr>
      <w:r>
        <w:rPr>
          <w:rFonts w:ascii="Calibri" w:hAnsi="Calibri" w:eastAsia="Microsoft JhengHei"/>
          <w:b/>
          <w:color w:val="1F4D78"/>
          <w:sz w:val="21"/>
        </w:rPr>
        <w:t>判定與標示：</w:t>
      </w:r>
      <w:r>
        <w:rPr>
          <w:rFonts w:ascii="Calibri" w:hAnsi="Calibri" w:eastAsia="Microsoft JhengHei"/>
          <w:b w:val="0"/>
          <w:color w:val="000000"/>
          <w:sz w:val="21"/>
        </w:rPr>
        <w:t>判定合格、不合格或待確認，並清楚標示物料狀態。</w:t>
      </w:r>
    </w:p>
    <w:p>
      <w:pPr>
        <w:pStyle w:val="ListNumber"/>
        <w:spacing w:after="100" w:line="283" w:lineRule="auto"/>
      </w:pPr>
      <w:r>
        <w:rPr>
          <w:rFonts w:ascii="Calibri" w:hAnsi="Calibri" w:eastAsia="Microsoft JhengHei"/>
          <w:b/>
          <w:color w:val="1F4D78"/>
          <w:sz w:val="21"/>
        </w:rPr>
        <w:t>異常處置：</w:t>
      </w:r>
      <w:r>
        <w:rPr>
          <w:rFonts w:ascii="Calibri" w:hAnsi="Calibri" w:eastAsia="Microsoft JhengHei"/>
          <w:b w:val="0"/>
          <w:color w:val="000000"/>
          <w:sz w:val="21"/>
        </w:rPr>
        <w:t>不合格品隔離、通報、開立異常單並追蹤處理結果。</w:t>
      </w:r>
    </w:p>
    <w:p>
      <w:pPr>
        <w:pStyle w:val="Heading2"/>
      </w:pPr>
      <w:r>
        <w:t>2.1 抽樣注意事項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樣品須能代表整批物料，避免只抽最上層、同一箱或同一位置。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不同批號、日期或包裝單位應分開確認；混批時須先釐清。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抽驗計畫採 105E 正常檢驗－單次抽樣；查表方式與使用原則詳見附錄 A，不得自行減少檢驗數量。</w:t>
      </w:r>
    </w:p>
    <w:p>
      <w:pPr>
        <w:pStyle w:val="Heading2"/>
      </w:pPr>
      <w:r>
        <w:t>2.2 判定狀態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650"/>
        <w:gridCol w:w="4210"/>
      </w:tblGrid>
      <w:tr>
        <w:trPr>
          <w:tblHeader w:val="true"/>
        </w:trPr>
        <w:tc>
          <w:tcPr>
            <w:tcW w:type="dxa" w:w="15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狀態</w:t>
            </w:r>
          </w:p>
        </w:tc>
        <w:tc>
          <w:tcPr>
            <w:tcW w:type="dxa" w:w="365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定義</w:t>
            </w:r>
          </w:p>
        </w:tc>
        <w:tc>
          <w:tcPr>
            <w:tcW w:type="dxa" w:w="421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處置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合格</w:t>
            </w:r>
          </w:p>
        </w:tc>
        <w:tc>
          <w:tcPr>
            <w:tcW w:type="dxa" w:w="3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所有檢驗項目符合要求</w:t>
            </w:r>
          </w:p>
        </w:tc>
        <w:tc>
          <w:tcPr>
            <w:tcW w:type="dxa" w:w="4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完成標示後入庫／放行</w:t>
            </w:r>
          </w:p>
        </w:tc>
      </w:tr>
      <w:tr>
        <w:tc>
          <w:tcPr>
            <w:tcW w:type="dxa" w:w="15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不合格</w:t>
            </w:r>
          </w:p>
        </w:tc>
        <w:tc>
          <w:tcPr>
            <w:tcW w:type="dxa" w:w="36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任一必要項目不符合要求</w:t>
            </w:r>
          </w:p>
        </w:tc>
        <w:tc>
          <w:tcPr>
            <w:tcW w:type="dxa" w:w="42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隔離、標示並通報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待確認</w:t>
            </w:r>
          </w:p>
        </w:tc>
        <w:tc>
          <w:tcPr>
            <w:tcW w:type="dxa" w:w="3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規格不清、文件不足或判定有疑義</w:t>
            </w:r>
          </w:p>
        </w:tc>
        <w:tc>
          <w:tcPr>
            <w:tcW w:type="dxa" w:w="42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暫停放行，待權責單位確認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　各類物料檢驗重點</w:t>
      </w:r>
    </w:p>
    <w:p>
      <w:pPr>
        <w:pStyle w:val="Heading2"/>
      </w:pPr>
      <w:r>
        <w:t>3.1 機構品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5160"/>
        <w:gridCol w:w="2700"/>
      </w:tblGrid>
      <w:tr>
        <w:trPr>
          <w:tblHeader w:val="true"/>
        </w:trPr>
        <w:tc>
          <w:tcPr>
            <w:tcW w:type="dxa" w:w="15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項目</w:t>
            </w:r>
          </w:p>
        </w:tc>
        <w:tc>
          <w:tcPr>
            <w:tcW w:type="dxa" w:w="51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檢驗重點</w:t>
            </w:r>
          </w:p>
        </w:tc>
        <w:tc>
          <w:tcPr>
            <w:tcW w:type="dxa" w:w="27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常用方式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外觀</w:t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刮傷、毛邊、裂痕、變形、鏽蝕、色差、表面處理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目視、限度樣品、膜厚計</w:t>
            </w:r>
          </w:p>
        </w:tc>
      </w:tr>
      <w:tr>
        <w:tc>
          <w:tcPr>
            <w:tcW w:type="dxa" w:w="15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尺寸</w:t>
            </w:r>
          </w:p>
        </w:tc>
        <w:tc>
          <w:tcPr>
            <w:tcW w:type="dxa" w:w="51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長、寬、高、厚度、孔徑、孔距及公差</w:t>
            </w:r>
          </w:p>
        </w:tc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卡尺、千分尺、高度規、2D 掃描機、3D 掃描儀（三次元）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材質</w:t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材質牌號、硬度、材質證明及表面處理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文件核對、硬度計</w:t>
            </w:r>
          </w:p>
        </w:tc>
      </w:tr>
      <w:tr>
        <w:tc>
          <w:tcPr>
            <w:tcW w:type="dxa" w:w="15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裝配</w:t>
            </w:r>
          </w:p>
        </w:tc>
        <w:tc>
          <w:tcPr>
            <w:tcW w:type="dxa" w:w="51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組合公差、鬆緊度配合、螺紋及組裝適配性</w:t>
            </w:r>
          </w:p>
        </w:tc>
        <w:tc>
          <w:tcPr>
            <w:tcW w:type="dxa" w:w="2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試裝、治具、牙規、扭力工具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包裝</w:t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防撞、防潮、防鏽及數量分裝</w:t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目視、文件核對</w:t>
            </w:r>
          </w:p>
        </w:tc>
      </w:tr>
    </w:tbl>
    <w:p>
      <w:pPr>
        <w:spacing w:after="20"/>
      </w:pPr>
    </w:p>
    <w:p>
      <w:pPr>
        <w:pStyle w:val="Heading2"/>
      </w:pPr>
      <w:r>
        <w:t>3.2 電子件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核對料號、型號、規格、廠牌、批號及製造日期。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確認外觀、腳位、極性、方向、端子及焊接部位無異常。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依規格量測電壓、電流、電阻或執行基本功能測試。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確認防靜電、防潮包裝、濕度指示卡及保存期限。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必要時核對檢驗報告、RoHS或其他指定證明。</w:t>
      </w:r>
    </w:p>
    <w:p>
      <w:pPr>
        <w:pStyle w:val="Heading2"/>
      </w:pPr>
      <w:r>
        <w:t>3.3 簡易品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核對品名、規格、數量、顏色、印刷與標示內容。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確認外觀與包裝完整，並與承認樣品比對。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依需求進行簡易尺寸、黏著、組合或功能確認。</w:t>
      </w:r>
    </w:p>
    <w:p>
      <w:r>
        <w:br w:type="page"/>
      </w:r>
    </w:p>
    <w:p>
      <w:pPr>
        <w:pStyle w:val="Heading1"/>
      </w:pPr>
      <w:r>
        <w:t>4　裝配檢驗重點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4700"/>
        <w:gridCol w:w="2760"/>
      </w:tblGrid>
      <w:tr>
        <w:trPr>
          <w:tblHeader w:val="true"/>
        </w:trPr>
        <w:tc>
          <w:tcPr>
            <w:tcW w:type="dxa" w:w="19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檢驗項目</w:t>
            </w:r>
          </w:p>
        </w:tc>
        <w:tc>
          <w:tcPr>
            <w:tcW w:type="dxa" w:w="47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判定重點</w:t>
            </w:r>
          </w:p>
        </w:tc>
        <w:tc>
          <w:tcPr>
            <w:tcW w:type="dxa" w:w="27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常見異常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組合公差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組合後的尺寸、間隙、位置及同心度符合圖面要求</w:t>
            </w:r>
          </w:p>
        </w:tc>
        <w:tc>
          <w:tcPr>
            <w:tcW w:type="dxa" w:w="2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間隙過大、偏位、干涉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鬆緊度配合</w:t>
            </w:r>
          </w:p>
        </w:tc>
        <w:tc>
          <w:tcPr>
            <w:tcW w:type="dxa" w:w="4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不可過鬆、晃動或脫落；亦不可過緊、卡死或難以組裝</w:t>
            </w:r>
          </w:p>
        </w:tc>
        <w:tc>
          <w:tcPr>
            <w:tcW w:type="dxa" w:w="27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鬆脫、卡滯、強迫組裝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螺紋牙距（螺距）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牙規、牙距、牙型、有效牙長及旋合深度符合要求</w:t>
            </w:r>
          </w:p>
        </w:tc>
        <w:tc>
          <w:tcPr>
            <w:tcW w:type="dxa" w:w="2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錯牙、缺牙、牙距錯誤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鎖付狀態</w:t>
            </w:r>
          </w:p>
        </w:tc>
        <w:tc>
          <w:tcPr>
            <w:tcW w:type="dxa" w:w="4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螺絲可順利鎖入並達到指定位置或扭力</w:t>
            </w:r>
          </w:p>
        </w:tc>
        <w:tc>
          <w:tcPr>
            <w:tcW w:type="dxa" w:w="27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滑牙、崩牙、斜鎖、鎖不到位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組裝適配性</w:t>
            </w:r>
          </w:p>
        </w:tc>
        <w:tc>
          <w:tcPr>
            <w:tcW w:type="dxa" w:w="4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方向正確、孔位對準，組合後無干涉或變形</w:t>
            </w:r>
          </w:p>
        </w:tc>
        <w:tc>
          <w:tcPr>
            <w:tcW w:type="dxa" w:w="2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孔位不合、方向錯誤、變形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功能確認</w:t>
            </w:r>
          </w:p>
        </w:tc>
        <w:tc>
          <w:tcPr>
            <w:tcW w:type="dxa" w:w="47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組裝後活動、切換或操作正常</w:t>
            </w:r>
          </w:p>
        </w:tc>
        <w:tc>
          <w:tcPr>
            <w:tcW w:type="dxa" w:w="27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卡滯、異音、功能失效</w:t>
            </w:r>
          </w:p>
        </w:tc>
      </w:tr>
    </w:tbl>
    <w:p>
      <w:pPr>
        <w:spacing w:after="20"/>
      </w:pPr>
    </w:p>
    <w:p>
      <w:pPr>
        <w:pStyle w:val="Heading2"/>
      </w:pPr>
      <w:r>
        <w:t>4.1 試裝原則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使用指定的配對零件、治具與鎖付工具，並確認版本一致。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不可用敲擊、強壓或非正常外力掩蓋配合不良。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螺紋及牙距適配性可使用 GO／NO-GO 通止治具快速檢測；必要時再以牙距規或圖面指定方法複核。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主觀的鬆緊手感應搭配限度樣品、扭力值或明確判定標準。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用語提醒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「螺牙距離」建議統一寫為「牙距（螺距）」；紀錄時同時標示公稱尺寸與牙距，例如 M6 × 1.0。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5　量測與統計數據</w:t>
      </w:r>
    </w:p>
    <w:p>
      <w:pPr>
        <w:pStyle w:val="Heading2"/>
      </w:pPr>
      <w:r>
        <w:t>5.1 計量值（公司主要使用）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尺寸類：長度、寬度、高度、厚度、孔徑、孔距、配合間隙。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機械特性：重量、硬度、扭力、組合公差、牙距及有效牙長。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電氣特性：電壓、電流、電阻及其他指定量測值。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950"/>
        <w:gridCol w:w="3510"/>
      </w:tblGrid>
      <w:tr>
        <w:trPr>
          <w:tblHeader w:val="true"/>
        </w:trPr>
        <w:tc>
          <w:tcPr>
            <w:tcW w:type="dxa" w:w="19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統計項目</w:t>
            </w:r>
          </w:p>
        </w:tc>
        <w:tc>
          <w:tcPr>
            <w:tcW w:type="dxa" w:w="395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用途</w:t>
            </w:r>
          </w:p>
        </w:tc>
        <w:tc>
          <w:tcPr>
            <w:tcW w:type="dxa" w:w="351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注意事項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平均值</w:t>
            </w:r>
          </w:p>
        </w:tc>
        <w:tc>
          <w:tcPr>
            <w:tcW w:type="dxa" w:w="3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掌握一組數據的中心位置</w:t>
            </w:r>
          </w:p>
        </w:tc>
        <w:tc>
          <w:tcPr>
            <w:tcW w:type="dxa" w:w="3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平均正常不代表每一筆都合格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最大值／最小值</w:t>
            </w:r>
          </w:p>
        </w:tc>
        <w:tc>
          <w:tcPr>
            <w:tcW w:type="dxa" w:w="39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確認數據極端值是否接近或超出規格</w:t>
            </w:r>
          </w:p>
        </w:tc>
        <w:tc>
          <w:tcPr>
            <w:tcW w:type="dxa" w:w="35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須保留原始數據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全距 R</w:t>
            </w:r>
          </w:p>
        </w:tc>
        <w:tc>
          <w:tcPr>
            <w:tcW w:type="dxa" w:w="3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最大值減最小值，快速觀察變異大小</w:t>
            </w:r>
          </w:p>
        </w:tc>
        <w:tc>
          <w:tcPr>
            <w:tcW w:type="dxa" w:w="3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適合現場初步判讀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標準差</w:t>
            </w:r>
          </w:p>
        </w:tc>
        <w:tc>
          <w:tcPr>
            <w:tcW w:type="dxa" w:w="39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評估數據分散程度</w:t>
            </w:r>
          </w:p>
        </w:tc>
        <w:tc>
          <w:tcPr>
            <w:tcW w:type="dxa" w:w="35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樣本數太少時解讀需謹慎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趨勢</w:t>
            </w:r>
          </w:p>
        </w:tc>
        <w:tc>
          <w:tcPr>
            <w:tcW w:type="dxa" w:w="3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比較不同批次或時間的變化</w:t>
            </w:r>
          </w:p>
        </w:tc>
        <w:tc>
          <w:tcPr>
            <w:tcW w:type="dxa" w:w="35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連續偏移時應提前追蹤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Cp／Cpk</w:t>
            </w:r>
          </w:p>
        </w:tc>
        <w:tc>
          <w:tcPr>
            <w:tcW w:type="dxa" w:w="395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評估穩定製程的能力與偏移</w:t>
            </w:r>
          </w:p>
        </w:tc>
        <w:tc>
          <w:tcPr>
            <w:tcW w:type="dxa" w:w="351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須有足夠數據且製程穩定後使用</w:t>
            </w:r>
          </w:p>
        </w:tc>
      </w:tr>
    </w:tbl>
    <w:p>
      <w:pPr>
        <w:spacing w:after="20"/>
      </w:pPr>
    </w:p>
    <w:p>
      <w:pPr>
        <w:pStyle w:val="Heading2"/>
      </w:pPr>
      <w:r>
        <w:t>5.2 計數值（補充，公司較少使用）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2CC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806000"/>
                <w:sz w:val="21"/>
              </w:rPr>
              <w:t xml:space="preserve">另行標註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計數值用於合格／不合格件數、缺點數、不良率、批退率及 PPM 等統計；目前不是公司進料檢驗的主要分析方式。</w:t>
            </w:r>
          </w:p>
        </w:tc>
      </w:tr>
    </w:tbl>
    <w:p>
      <w:pPr>
        <w:spacing w:after="20"/>
      </w:pPr>
    </w:p>
    <w:p>
      <w:pPr>
        <w:pStyle w:val="Heading2"/>
      </w:pPr>
      <w:r>
        <w:t>5.3 量測紀錄原則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記錄實際讀值，不只填寫「OK」。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單位、小數位數與量具解析度應一致。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規格上限（USL）與規格下限（LSL）是產品允收界限，不等同管制界限。</w:t>
      </w:r>
    </w:p>
    <w:p>
      <w:r>
        <w:br w:type="page"/>
      </w:r>
    </w:p>
    <w:p>
      <w:pPr>
        <w:pStyle w:val="Heading1"/>
      </w:pPr>
      <w:r>
        <w:t>6　常用品質手法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4F7FA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本手冊選用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依進料檢驗現場需求，採用查檢表、層別法、直方圖及趨勢／管制圖；柏拉圖僅在彙整計數型異常時使用。</w:t>
            </w:r>
          </w:p>
        </w:tc>
      </w:tr>
    </w:tbl>
    <w:p>
      <w:pPr>
        <w:spacing w:after="20"/>
      </w:pPr>
    </w:p>
    <w:p>
      <w:pPr>
        <w:pStyle w:val="Heading2"/>
      </w:pPr>
      <w:r>
        <w:t>6.1 查檢表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用途：統一記錄料號、批次、規格、量測值、結果及異常現象。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重點：欄位明確、數據可追溯、異常描述使用一致名稱。</w:t>
      </w:r>
    </w:p>
    <w:p>
      <w:pPr>
        <w:pStyle w:val="Heading2"/>
      </w:pPr>
      <w:r>
        <w:t>6.2 層別法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依供應商、料號、批號、日期、模穴、機台或包裝單位分開比較。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用途：避免所有數據混在一起，協助鎖定異常來源。</w:t>
      </w:r>
    </w:p>
    <w:p>
      <w:pPr>
        <w:pStyle w:val="Heading2"/>
      </w:pPr>
      <w:r>
        <w:t>6.3 直方圖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適用於尺寸、重量、硬度、電壓及電阻等計量數據。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觀察數據集中位置、分散程度、偏移及是否靠近規格界限。</w:t>
      </w:r>
    </w:p>
    <w:p>
      <w:pPr>
        <w:pStyle w:val="Heading2"/>
      </w:pPr>
      <w:r>
        <w:t>6.4 趨勢圖／管制圖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將每批平均值、最大值、最小值或關鍵尺寸依時間排列。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若數據連續上升、下降、偏向同一側或突然跳動，應提早調查。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正式使用管制圖前，應確認圖別、取樣方式與管制界限計算符合公司規定。</w:t>
      </w:r>
    </w:p>
    <w:p>
      <w:pPr>
        <w:pStyle w:val="Heading2"/>
      </w:pPr>
      <w:r>
        <w:t>6.5 柏拉圖（計數型異常時使用）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將刮傷、尺寸超差、變形等不良次數由高至低排列，用於決定改善優先順序。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因公司計數型資料使用較少，本項列為異常彙整的輔助手法。</w:t>
      </w:r>
    </w:p>
    <w:p>
      <w:r>
        <w:br w:type="page"/>
      </w:r>
    </w:p>
    <w:p>
      <w:pPr>
        <w:pStyle w:val="Heading1"/>
      </w:pPr>
      <w:r>
        <w:t>7　異常處置與回報</w:t>
      </w:r>
    </w:p>
    <w:p>
      <w:pPr>
        <w:spacing w:after="100" w:line="283" w:lineRule="auto"/>
      </w:pPr>
      <w:r>
        <w:t>1.　停止放行：發現不符合、判定不明或數據異常時，不得先行放行。</w:t>
      </w:r>
    </w:p>
    <w:p>
      <w:pPr>
        <w:spacing w:after="100" w:line="283" w:lineRule="auto"/>
      </w:pPr>
      <w:r>
        <w:t>2.　標示與隔離：使用公司規定標籤，清楚標示料號、批號、數量及異常狀態。</w:t>
      </w:r>
    </w:p>
    <w:p>
      <w:pPr>
        <w:spacing w:after="100" w:line="283" w:lineRule="auto"/>
      </w:pPr>
      <w:r>
        <w:t>3.　保留證據：保存原始量測值、照片、樣品與檢驗條件。</w:t>
      </w:r>
    </w:p>
    <w:p>
      <w:pPr>
        <w:spacing w:after="100" w:line="283" w:lineRule="auto"/>
      </w:pPr>
      <w:r>
        <w:t>4.　通報：向主管及相關單位回報異常內容、影響批次與目前狀態。</w:t>
      </w:r>
    </w:p>
    <w:p>
      <w:pPr>
        <w:spacing w:after="100" w:line="283" w:lineRule="auto"/>
      </w:pPr>
      <w:r>
        <w:t>5.　開立紀錄：依公司流程開立進料異常、退貨、特採或供應商改善文件。</w:t>
      </w:r>
    </w:p>
    <w:p>
      <w:pPr>
        <w:spacing w:after="100" w:line="283" w:lineRule="auto"/>
      </w:pPr>
      <w:r>
        <w:t>6.　追蹤結案：確認處置結果、重驗結果與改善措施均已完成。</w:t>
      </w:r>
    </w:p>
    <w:p>
      <w:pPr>
        <w:pStyle w:val="Heading2"/>
        <w:spacing w:after="120" w:line="300" w:lineRule="auto"/>
      </w:pPr>
      <w:r>
        <w:rPr>
          <w:rFonts w:ascii="Microsoft JhengHei" w:hAnsi="Microsoft JhengHei" w:eastAsia="Microsoft JhengHei"/>
          <w:b w:val="0"/>
          <w:color w:val="000000"/>
          <w:sz w:val="21"/>
        </w:rPr>
        <w:t>7.1 特殊放行與追蹤管制</w:t>
      </w:r>
    </w:p>
    <w:p>
      <w:pPr>
        <w:spacing w:after="120" w:line="300" w:lineRule="auto"/>
      </w:pPr>
      <w:r>
        <w:rPr>
          <w:rFonts w:ascii="Microsoft JhengHei" w:hAnsi="Microsoft JhengHei" w:eastAsia="Microsoft JhengHei"/>
          <w:b w:val="0"/>
          <w:color w:val="000000"/>
          <w:sz w:val="21"/>
        </w:rPr>
        <w:t>特殊放行不是把不合格改成合格，而是在風險已被評估、適用範圍受控且權責核准的條件下，暫時接受指定批次或數量。任何特殊放行都必須有文件依據及後續追蹤，不得只以口頭通知或現場經驗決定。</w:t>
      </w:r>
    </w:p>
    <w:p>
      <w:pPr>
        <w:pStyle w:val="ListBullet"/>
        <w:spacing w:after="120" w:line="300" w:lineRule="auto"/>
      </w:pPr>
      <w:r>
        <w:rPr>
          <w:rFonts w:ascii="Microsoft JhengHei" w:hAnsi="Microsoft JhengHei" w:eastAsia="Microsoft JhengHei"/>
          <w:b w:val="0"/>
          <w:color w:val="000000"/>
          <w:sz w:val="21"/>
        </w:rPr>
        <w:t>記錄放行原因、異常內容、風險評估及不能立即依正常程序處理的理由。</w:t>
      </w:r>
    </w:p>
    <w:p>
      <w:pPr>
        <w:pStyle w:val="ListBullet"/>
        <w:spacing w:after="120" w:line="300" w:lineRule="auto"/>
      </w:pPr>
      <w:r>
        <w:rPr>
          <w:rFonts w:ascii="Microsoft JhengHei" w:hAnsi="Microsoft JhengHei" w:eastAsia="Microsoft JhengHei"/>
          <w:b w:val="0"/>
          <w:color w:val="000000"/>
          <w:sz w:val="21"/>
        </w:rPr>
        <w:t>明確限定供應商、料號、批次、數量、使用範圍及有效期間。</w:t>
      </w:r>
    </w:p>
    <w:p>
      <w:pPr>
        <w:pStyle w:val="ListBullet"/>
        <w:spacing w:after="120" w:line="300" w:lineRule="auto"/>
      </w:pPr>
      <w:r>
        <w:rPr>
          <w:rFonts w:ascii="Microsoft JhengHei" w:hAnsi="Microsoft JhengHei" w:eastAsia="Microsoft JhengHei"/>
          <w:b w:val="0"/>
          <w:color w:val="000000"/>
          <w:sz w:val="21"/>
        </w:rPr>
        <w:t>依公司權責完成核准，並保留核准人員、日期及附帶條件。</w:t>
      </w:r>
    </w:p>
    <w:p>
      <w:pPr>
        <w:pStyle w:val="ListBullet"/>
        <w:spacing w:after="120" w:line="300" w:lineRule="auto"/>
      </w:pPr>
      <w:r>
        <w:rPr>
          <w:rFonts w:ascii="Microsoft JhengHei" w:hAnsi="Microsoft JhengHei" w:eastAsia="Microsoft JhengHei"/>
          <w:b w:val="0"/>
          <w:color w:val="000000"/>
          <w:sz w:val="21"/>
        </w:rPr>
        <w:t>搭配加驗、功能測試、標示、隔離、指定用途或製程加強監控。</w:t>
      </w:r>
    </w:p>
    <w:p>
      <w:pPr>
        <w:pStyle w:val="ListBullet"/>
        <w:spacing w:after="120" w:line="300" w:lineRule="auto"/>
      </w:pPr>
      <w:r>
        <w:rPr>
          <w:rFonts w:ascii="Microsoft JhengHei" w:hAnsi="Microsoft JhengHei" w:eastAsia="Microsoft JhengHei"/>
          <w:b w:val="0"/>
          <w:color w:val="000000"/>
          <w:sz w:val="21"/>
        </w:rPr>
        <w:t>追蹤使用結果、後續批次與供應商改善，完成驗證後才能結案。</w:t>
      </w:r>
    </w:p>
    <w:p>
      <w:pPr>
        <w:pStyle w:val="Heading2"/>
      </w:pPr>
      <w:r>
        <w:t>7.2 異常描述範例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不建議</w:t>
            </w:r>
          </w:p>
        </w:tc>
        <w:tc>
          <w:tcPr>
            <w:tcW w:type="dxa" w:w="70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建議寫法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尺寸不良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圖面要求孔徑 Ø10.00 ±0.05 mm；樣品 5 pcs 中第 3 件實測 10.08 mm，超出上限 0.03 mm。</w:t>
            </w:r>
          </w:p>
        </w:tc>
      </w:tr>
      <w:tr>
        <w:tc>
          <w:tcPr>
            <w:tcW w:type="dxa" w:w="23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螺牙不對</w:t>
            </w:r>
          </w:p>
        </w:tc>
        <w:tc>
          <w:tcPr>
            <w:tcW w:type="dxa" w:w="70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規格 M6 × 1.0；牙距規 1.0 無法吻合，通規無法旋入。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很難裝</w:t>
            </w:r>
          </w:p>
        </w:tc>
        <w:tc>
          <w:tcPr>
            <w:tcW w:type="dxa" w:w="7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指定配對件試裝時需施加異常外力，組合後活動部位卡滯。</w:t>
            </w:r>
          </w:p>
        </w:tc>
      </w:tr>
      <w:tr>
        <w:tc>
          <w:tcPr>
            <w:tcW w:type="dxa" w:w="23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外觀不好</w:t>
            </w:r>
          </w:p>
        </w:tc>
        <w:tc>
          <w:tcPr>
            <w:tcW w:type="dxa" w:w="70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A 面距邊緣約 12 mm 處有長約 8 mm 刮傷，超出限度樣品。</w:t>
            </w:r>
          </w:p>
        </w:tc>
      </w:tr>
    </w:tbl>
    <w:p>
      <w:pPr>
        <w:spacing w:after="20"/>
      </w:pP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CE4D6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C00000"/>
                <w:sz w:val="21"/>
              </w:rPr>
              <w:t xml:space="preserve">禁止事項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未經核准不得自行修整、混料、換標、放行或要求現場先使用。</w:t>
            </w:r>
          </w:p>
        </w:tc>
      </w:tr>
    </w:tbl>
    <w:p>
      <w:pPr>
        <w:spacing w:after="20"/>
      </w:pPr>
    </w:p>
    <w:p>
      <w:pPr>
        <w:pStyle w:val="Heading1"/>
      </w:pPr>
      <w:r>
        <w:t>8　新人實作與考核</w:t>
      </w:r>
    </w:p>
    <w:p>
      <w:pPr>
        <w:pStyle w:val="Heading2"/>
      </w:pPr>
      <w:r>
        <w:t>8.1 實作能力檢核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5660"/>
        <w:gridCol w:w="900"/>
        <w:gridCol w:w="900"/>
      </w:tblGrid>
      <w:tr>
        <w:trPr>
          <w:tblHeader w:val="true"/>
        </w:trPr>
        <w:tc>
          <w:tcPr>
            <w:tcW w:type="dxa" w:w="19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能力項目</w:t>
            </w:r>
          </w:p>
        </w:tc>
        <w:tc>
          <w:tcPr>
            <w:tcW w:type="dxa" w:w="56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確認內容</w:t>
            </w:r>
          </w:p>
        </w:tc>
        <w:tc>
          <w:tcPr>
            <w:tcW w:type="dxa" w:w="9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合格</w:t>
            </w:r>
          </w:p>
        </w:tc>
        <w:tc>
          <w:tcPr>
            <w:tcW w:type="dxa" w:w="9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待加強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文件核對</w:t>
            </w:r>
          </w:p>
        </w:tc>
        <w:tc>
          <w:tcPr>
            <w:tcW w:type="dxa" w:w="5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能確認料號、批次、圖面版本與規格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量具使用</w:t>
            </w:r>
          </w:p>
        </w:tc>
        <w:tc>
          <w:tcPr>
            <w:tcW w:type="dxa" w:w="5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能選擇適當量具、歸零並正確讀值</w:t>
            </w:r>
          </w:p>
        </w:tc>
        <w:tc>
          <w:tcPr>
            <w:tcW w:type="dxa" w:w="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  <w:tc>
          <w:tcPr>
            <w:tcW w:type="dxa" w:w="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機構品檢驗</w:t>
            </w:r>
          </w:p>
        </w:tc>
        <w:tc>
          <w:tcPr>
            <w:tcW w:type="dxa" w:w="5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能完成外觀、尺寸、材質與裝配檢查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電子件檢驗</w:t>
            </w:r>
          </w:p>
        </w:tc>
        <w:tc>
          <w:tcPr>
            <w:tcW w:type="dxa" w:w="5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能辨識型號、極性、包裝及基本電氣項目</w:t>
            </w:r>
          </w:p>
        </w:tc>
        <w:tc>
          <w:tcPr>
            <w:tcW w:type="dxa" w:w="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  <w:tc>
          <w:tcPr>
            <w:tcW w:type="dxa" w:w="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簡易品檢驗</w:t>
            </w:r>
          </w:p>
        </w:tc>
        <w:tc>
          <w:tcPr>
            <w:tcW w:type="dxa" w:w="5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能依承認樣品完成外觀與規格比對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數據紀錄</w:t>
            </w:r>
          </w:p>
        </w:tc>
        <w:tc>
          <w:tcPr>
            <w:tcW w:type="dxa" w:w="5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能記錄原始值並計算平均、最大、最小與全距</w:t>
            </w:r>
          </w:p>
        </w:tc>
        <w:tc>
          <w:tcPr>
            <w:tcW w:type="dxa" w:w="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  <w:tc>
          <w:tcPr>
            <w:tcW w:type="dxa" w:w="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品質手法</w:t>
            </w:r>
          </w:p>
        </w:tc>
        <w:tc>
          <w:tcPr>
            <w:tcW w:type="dxa" w:w="5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能使用查檢表、層別及趨勢資料判讀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</w:tr>
      <w:tr>
        <w:tc>
          <w:tcPr>
            <w:tcW w:type="dxa" w:w="1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異常處置</w:t>
            </w:r>
          </w:p>
        </w:tc>
        <w:tc>
          <w:tcPr>
            <w:tcW w:type="dxa" w:w="566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能正確標示、隔離、通報並描述異常</w:t>
            </w:r>
          </w:p>
        </w:tc>
        <w:tc>
          <w:tcPr>
            <w:tcW w:type="dxa" w:w="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  <w:tc>
          <w:tcPr>
            <w:tcW w:type="dxa" w:w="900"/>
            <w:shd w:fill="F8FA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□</w:t>
            </w:r>
          </w:p>
        </w:tc>
      </w:tr>
    </w:tbl>
    <w:p>
      <w:pPr>
        <w:spacing w:after="20"/>
      </w:pPr>
    </w:p>
    <w:p>
      <w:pPr>
        <w:pStyle w:val="Heading2"/>
      </w:pPr>
      <w:r>
        <w:t>8.2 現場工作前確認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已閱讀公司進料檢驗規範與抽樣規定。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已完成主要量具操作及校驗標示辨識。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已了解物料狀態標示與不合格品隔離區。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已在指導人員陪同下完成至少一批實際檢驗。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□ 已通過主管或指定人員的實作確認。</w:t>
      </w:r>
    </w:p>
    <w:p>
      <w:pPr>
        <w:pStyle w:val="Heading2"/>
      </w:pPr>
      <w:r>
        <w:t>8.3 簽核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234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新人</w:t>
            </w:r>
          </w:p>
        </w:tc>
        <w:tc>
          <w:tcPr>
            <w:tcW w:type="dxa" w:w="234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指導人員</w:t>
            </w:r>
          </w:p>
        </w:tc>
        <w:tc>
          <w:tcPr>
            <w:tcW w:type="dxa" w:w="234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主管</w:t>
            </w:r>
          </w:p>
        </w:tc>
        <w:tc>
          <w:tcPr>
            <w:tcW w:type="dxa" w:w="234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日期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20"/>
              </w:rPr>
              <w:t>____／____／____</w:t>
            </w:r>
          </w:p>
        </w:tc>
      </w:tr>
    </w:tbl>
    <w:p>
      <w:pPr>
        <w:spacing w:after="20"/>
      </w:pPr>
    </w:p>
    <w:p>
      <w:pPr>
        <w:pStyle w:val="Heading1"/>
      </w:pPr>
      <w:r>
        <w:t>9　公司系統簡介</w:t>
      </w:r>
    </w:p>
    <w:p>
      <w:pPr>
        <w:spacing w:after="160"/>
      </w:pPr>
      <w:r>
        <w:rPr>
          <w:rFonts w:ascii="Calibri" w:hAnsi="Calibri" w:eastAsia="Microsoft JhengHei"/>
          <w:b w:val="0"/>
          <w:color w:val="000000"/>
          <w:sz w:val="21"/>
        </w:rPr>
        <w:t>新人先了解各系統用途與基本操作；詳細步驟依公司現行流程及權限辦理。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系統／功能</w:t>
            </w:r>
          </w:p>
        </w:tc>
        <w:tc>
          <w:tcPr>
            <w:tcW w:type="dxa" w:w="71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簡要說明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BPM 簽核表單</w:t>
            </w:r>
          </w:p>
        </w:tc>
        <w:tc>
          <w:tcPr>
            <w:tcW w:type="dxa" w:w="71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用於公司流程申請與簽核，例如差旅、請假及其他行政表單。填寫前確認申請類別、日期、附件與簽核流程。</w:t>
            </w:r>
          </w:p>
        </w:tc>
      </w:tr>
      <w:tr>
        <w:tc>
          <w:tcPr>
            <w:tcW w:type="dxa" w:w="22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文件管理</w:t>
            </w:r>
          </w:p>
        </w:tc>
        <w:tc>
          <w:tcPr>
            <w:tcW w:type="dxa" w:w="71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查詢及使用受管制文件、圖面、規範與表單。使用前須確認文件編號、版本及生效狀態。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9"/>
              </w:rPr>
              <w:t>品質系統</w:t>
            </w:r>
          </w:p>
        </w:tc>
        <w:tc>
          <w:tcPr>
            <w:tcW w:type="dxa" w:w="71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9"/>
              </w:rPr>
              <w:t>進行進料檢驗結果登錄、品質異常紀錄、查詢及追蹤。依個人權限操作並確保資料正確。</w:t>
            </w:r>
          </w:p>
        </w:tc>
      </w:tr>
    </w:tbl>
    <w:p>
      <w:pPr>
        <w:spacing w:before="120" w:after="0"/>
      </w:pPr>
      <w:r>
        <w:rPr>
          <w:rFonts w:ascii="Calibri" w:hAnsi="Calibri" w:eastAsia="Microsoft JhengHei"/>
          <w:b/>
          <w:color w:val="C00000"/>
          <w:sz w:val="20"/>
        </w:rPr>
        <w:t>注意：</w:t>
      </w:r>
      <w:r>
        <w:rPr>
          <w:rFonts w:ascii="Calibri" w:hAnsi="Calibri" w:eastAsia="Microsoft JhengHei"/>
          <w:b w:val="0"/>
          <w:color w:val="000000"/>
          <w:sz w:val="20"/>
        </w:rPr>
        <w:t>帳號及密碼不得共用；遇到權限、版本或流程不明時，先向主管或系統管理人員確認。</w:t>
      </w:r>
    </w:p>
    <w:p>
      <w:r>
        <w:br w:type="page"/>
      </w:r>
    </w:p>
    <w:p>
      <w:pPr>
        <w:pStyle w:val="Heading2"/>
      </w:pPr>
      <w:r>
        <w:t>9.1 BPM 發起流程</w:t>
      </w:r>
    </w:p>
    <w:p>
      <w:r>
        <w:rPr>
          <w:rFonts w:ascii="Calibri" w:hAnsi="Calibri" w:eastAsia="Microsoft JhengHei"/>
          <w:b w:val="0"/>
          <w:color w:val="000000"/>
          <w:sz w:val="21"/>
        </w:rPr>
        <w:t>進入 BPM System 後，選擇「發起流程」，可由最近常用、分類清單或搜尋欄找到所需表單。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211987"/>
            <wp:docPr id="1" name="Picture 1" descr="BPM System 發起流程首頁，顯示最近常用及流程分類。" title="圖 1　BPM System－發起流程首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x-clipboard-047f4c3d-70c9-49fa-9145-222c6341fa2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19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JhengHei"/>
          <w:b w:val="0"/>
          <w:color w:val="666666"/>
          <w:sz w:val="18"/>
        </w:rPr>
        <w:t>圖 1　BPM System－發起流程首頁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常用表單包含 ISO 文件調閱、補刷卡、銷假、出差登記及請假申請。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送出前確認申請類別、日期、事由、附件及簽核人員是否正確。</w:t>
      </w:r>
    </w:p>
    <w:p>
      <w:r>
        <w:br w:type="page"/>
      </w:r>
    </w:p>
    <w:p>
      <w:pPr>
        <w:pStyle w:val="Heading2"/>
      </w:pPr>
      <w:r>
        <w:t>9.2 ESS 考勤管理</w:t>
      </w:r>
    </w:p>
    <w:p>
      <w:r>
        <w:rPr>
          <w:rFonts w:ascii="Calibri" w:hAnsi="Calibri" w:eastAsia="Microsoft JhengHei"/>
          <w:b w:val="0"/>
          <w:color w:val="000000"/>
          <w:sz w:val="21"/>
        </w:rPr>
        <w:t>在流程分類中選擇「ESS 考勤管理」，依需求開啟對應的考勤申請表單。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306002"/>
            <wp:docPr id="2" name="Picture 2" descr="ESS 考勤管理畫面，顯示補刷卡、加班、加班補休、請假、銷假及出差登記等申請。" title="圖 2　ESS 考勤管理－常用申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x-clipboard-b45252eb-52f3-44a9-a1a9-505e2a89ee4c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60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JhengHei"/>
          <w:b w:val="0"/>
          <w:color w:val="666666"/>
          <w:sz w:val="18"/>
        </w:rPr>
        <w:t>圖 2　ESS 考勤管理－常用申請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可辦理補刷卡、加班、加班補休、請假、銷假、出差登記及加班計劃申請。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實際申請規則、附件需求與簽核流程依公司現行規定辦理。</w:t>
      </w:r>
    </w:p>
    <w:p>
      <w:r>
        <w:br w:type="page"/>
      </w:r>
    </w:p>
    <w:p>
      <w:pPr>
        <w:pStyle w:val="Heading2"/>
      </w:pPr>
      <w:r>
        <w:t>9.3 品質系統操作</w:t>
      </w:r>
    </w:p>
    <w:p>
      <w:r>
        <w:rPr>
          <w:rFonts w:ascii="Calibri" w:hAnsi="Calibri" w:eastAsia="Microsoft JhengHei"/>
          <w:b w:val="0"/>
          <w:color w:val="000000"/>
          <w:sz w:val="21"/>
        </w:rPr>
        <w:t>進入 EMS 工作平台後選擇「品管」，再依工作需求開啟對應的品質系統。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486025"/>
            <wp:docPr id="3" name="Picture 3" descr="EMS 工作平台品管頁面，顯示 QC 巡檢單、IQC 進貨檢驗系統及 SPC 圖表入口。" title="EMS 工作平台－品管系統入口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x-clipboard-4289dedf-9905-4bcb-92c8-bb186ca00fcb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6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Calibri" w:hAnsi="Calibri" w:eastAsia="Microsoft JhengHei"/>
          <w:b w:val="0"/>
          <w:color w:val="666666"/>
          <w:sz w:val="18"/>
        </w:rPr>
        <w:t>圖 3　EMS 工作平台－品管系統入口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QC 巡檢單：供製程巡檢資料填寫或查詢。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IQC 進貨檢驗系統：供進料檢驗資料登錄、判定及查詢。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SPC 圖表：供品質數據趨勢與統計圖表查詢。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實際操作欄位、權限及處理流程依公司現行規定辦理。</w:t>
      </w:r>
    </w:p>
    <w:p>
      <w:r>
        <w:br w:type="page"/>
      </w:r>
    </w:p>
    <w:p>
      <w:pPr>
        <w:pStyle w:val="Heading1"/>
      </w:pPr>
      <w:r>
        <w:t>10　廠商巡檢單與外部巡檢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8EEF5"/>
          </w:tcPr>
          <w:p>
            <w:pPr>
              <w:spacing w:after="0"/>
            </w:pPr>
            <w:r>
              <w:rPr>
                <w:rFonts w:ascii="Calibri" w:hAnsi="Calibri" w:eastAsia="Microsoft JhengHei"/>
                <w:b/>
                <w:color w:val="1F4D78"/>
                <w:sz w:val="21"/>
              </w:rPr>
              <w:t xml:space="preserve">核心觀念　</w:t>
            </w:r>
            <w:r>
              <w:rPr>
                <w:rFonts w:ascii="Calibri" w:hAnsi="Calibri" w:eastAsia="Microsoft JhengHei"/>
                <w:b w:val="0"/>
                <w:color w:val="000000"/>
                <w:sz w:val="21"/>
              </w:rPr>
              <w:t>供應商視為公司工廠的延伸。透過外部巡檢，在物料出貨或大量生產前提早發現問題。</w:t>
            </w:r>
          </w:p>
        </w:tc>
      </w:tr>
    </w:tbl>
    <w:p>
      <w:pPr>
        <w:spacing w:after="120" w:line="300" w:lineRule="auto"/>
      </w:pPr>
      <w:r>
        <w:rPr>
          <w:rFonts w:ascii="Microsoft JhengHei" w:hAnsi="Microsoft JhengHei" w:eastAsia="Microsoft JhengHei"/>
          <w:b/>
          <w:color w:val="000000"/>
          <w:sz w:val="21"/>
        </w:rPr>
        <w:t xml:space="preserve">核心觀念　</w:t>
      </w:r>
      <w:r>
        <w:rPr>
          <w:rFonts w:ascii="Microsoft JhengHei" w:hAnsi="Microsoft JhengHei" w:eastAsia="Microsoft JhengHei"/>
          <w:b w:val="0"/>
          <w:color w:val="000000"/>
          <w:sz w:val="21"/>
        </w:rPr>
        <w:t>供應商不是公司以外、互不相關的單位，而是公司生產線向外延伸的一部分。供應商製程發生的異常，最終仍會影響公司的生產、交期與成品品質。因此，品質管理不能只等物料送達後再檢驗，而應將管制點向前移到供應商的生產過程。</w:t>
      </w:r>
    </w:p>
    <w:p>
      <w:pPr>
        <w:pStyle w:val="Heading2"/>
      </w:pPr>
      <w:r>
        <w:t>10.1 外部巡檢目的</w:t>
      </w:r>
    </w:p>
    <w:p>
      <w:pPr>
        <w:spacing w:after="100" w:line="283" w:lineRule="auto"/>
      </w:pPr>
      <w:r>
        <w:t>1.　避免不良品流入公司：在供應商端先確認產品品質，降低不合格物料進入公司及生產線的風險。</w:t>
      </w:r>
    </w:p>
    <w:p>
      <w:pPr>
        <w:spacing w:after="100" w:line="283" w:lineRule="auto"/>
      </w:pPr>
      <w:r>
        <w:t>2.　避免大量不良品產生：於供應商生產初期或製程中發現異常，及早停止、調整與改善。</w:t>
      </w:r>
    </w:p>
    <w:p>
      <w:pPr>
        <w:spacing w:after="100" w:line="283" w:lineRule="auto"/>
      </w:pPr>
      <w:r>
        <w:t>3.　避免不必要的挑選及測試：透過源頭管制降低進料後全面挑選、重複測試及額外人力成本。</w:t>
      </w:r>
    </w:p>
    <w:p>
      <w:pPr>
        <w:spacing w:after="100" w:line="283" w:lineRule="auto"/>
      </w:pPr>
      <w:r>
        <w:t>4.　初步了解供應商狀態：掌握供應商的生產進度、製程控制、設備、檢驗能力及現場品質狀況。</w:t>
      </w:r>
    </w:p>
    <w:p>
      <w:pPr>
        <w:spacing w:after="100" w:line="283" w:lineRule="auto"/>
      </w:pPr>
      <w:r>
        <w:t>5.　建立供應商溝通管道：針對圖面、規格、異常與改善要求建立明確且持續的聯繫窗口。</w:t>
      </w:r>
    </w:p>
    <w:p>
      <w:pPr>
        <w:spacing w:after="120" w:line="300" w:lineRule="auto"/>
      </w:pPr>
      <w:r>
        <w:rPr>
          <w:rFonts w:ascii="Microsoft JhengHei" w:hAnsi="Microsoft JhengHei" w:eastAsia="Microsoft JhengHei"/>
          <w:b/>
          <w:color w:val="000000"/>
          <w:sz w:val="21"/>
        </w:rPr>
        <w:t xml:space="preserve">發現時間的影響　</w:t>
      </w:r>
      <w:r>
        <w:rPr>
          <w:rFonts w:ascii="Microsoft JhengHei" w:hAnsi="Microsoft JhengHei" w:eastAsia="Microsoft JhengHei"/>
          <w:b w:val="0"/>
          <w:color w:val="000000"/>
          <w:sz w:val="21"/>
        </w:rPr>
        <w:t>若不良等到進料檢驗才被發現，供應商通常已完成整批生產，公司多半只能在驗退、重工、剔選或特採之間選擇，並可能面臨物料延誤、生產時間壓縮、額外測試費用及品質風險。外部巡檢的目的，就是把發現與改善問題的時間提前。</w:t>
      </w:r>
    </w:p>
    <w:p>
      <w:pPr>
        <w:pStyle w:val="Heading2"/>
        <w:spacing w:after="120" w:line="300" w:lineRule="auto"/>
      </w:pPr>
      <w:r>
        <w:rPr>
          <w:rFonts w:ascii="Microsoft JhengHei" w:hAnsi="Microsoft JhengHei" w:eastAsia="Microsoft JhengHei"/>
          <w:b w:val="0"/>
          <w:color w:val="000000"/>
          <w:sz w:val="21"/>
        </w:rPr>
        <w:t>10.2 廠商自主查核表與廠商巡檢單</w:t>
      </w:r>
    </w:p>
    <w:p>
      <w:pPr>
        <w:spacing w:after="120" w:line="300" w:lineRule="auto"/>
      </w:pPr>
      <w:r>
        <w:rPr>
          <w:rFonts w:ascii="Microsoft JhengHei" w:hAnsi="Microsoft JhengHei" w:eastAsia="Microsoft JhengHei"/>
          <w:b w:val="0"/>
          <w:color w:val="000000"/>
          <w:sz w:val="21"/>
        </w:rPr>
        <w:t>兩份表單的責任不同。自主查核由供應商執行，廠商巡檢則由公司品檢人員或指定人員確認供應商實際執行情況，兩者不可互相取代。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200"/>
        <w:gridCol w:w="2400"/>
        <w:gridCol w:w="4760"/>
      </w:tblGrid>
      <w:tr>
        <w:trPr>
          <w:tblHeader w:val="true"/>
        </w:trPr>
        <w:tc>
          <w:tcPr>
            <w:tcW w:type="dxa" w:w="2200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表單</w:t>
            </w:r>
          </w:p>
        </w:tc>
        <w:tc>
          <w:tcPr>
            <w:tcW w:type="dxa" w:w="2400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執行責任</w:t>
            </w:r>
          </w:p>
        </w:tc>
        <w:tc>
          <w:tcPr>
            <w:tcW w:type="dxa" w:w="4760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主要用途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廠商自主查核表</w:t>
            </w:r>
          </w:p>
        </w:tc>
        <w:tc>
          <w:tcPr>
            <w:tcW w:type="dxa" w:w="2400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供應商</w:t>
            </w:r>
          </w:p>
        </w:tc>
        <w:tc>
          <w:tcPr>
            <w:tcW w:type="dxa" w:w="4760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依批次或生產階段自行確認材料、製程條件、關鍵尺寸、外觀與功能，並保留原始數據。</w:t>
            </w:r>
          </w:p>
        </w:tc>
      </w:tr>
      <w:tr>
        <w:tc>
          <w:tcPr>
            <w:tcW w:type="dxa" w:w="2200"/>
            <w:shd w:fill="F8FAFC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廠商巡檢單</w:t>
            </w:r>
          </w:p>
        </w:tc>
        <w:tc>
          <w:tcPr>
            <w:tcW w:type="dxa" w:w="2400"/>
            <w:shd w:fill="F8FAFC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公司品檢人員或指定人員</w:t>
            </w:r>
          </w:p>
        </w:tc>
        <w:tc>
          <w:tcPr>
            <w:tcW w:type="dxa" w:w="4760"/>
            <w:shd w:fill="F8FAFC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到供應商現場抽查產品與製程，追蹤異常改善，確認供應商自主管理是否有效。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進料檢驗紀錄</w:t>
            </w:r>
          </w:p>
        </w:tc>
        <w:tc>
          <w:tcPr>
            <w:tcW w:type="dxa" w:w="2400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公司進料檢驗人員</w:t>
            </w:r>
          </w:p>
        </w:tc>
        <w:tc>
          <w:tcPr>
            <w:tcW w:type="dxa" w:w="4760"/>
            <w:vAlign w:val="center"/>
          </w:tcPr>
          <w:p>
            <w:pPr>
              <w:spacing w:after="0"/>
            </w:pPr>
            <w:r/>
            <w:r>
              <w:rPr>
                <w:rFonts w:ascii="Microsoft JhengHei" w:hAnsi="Microsoft JhengHei" w:eastAsia="Microsoft JhengHei"/>
                <w:b w:val="0"/>
                <w:color w:val="000000"/>
                <w:sz w:val="19"/>
              </w:rPr>
              <w:t>核對出貨批次及前段紀錄，依風險執行進料抽驗，持續驗證供應商品質狀態。</w:t>
            </w:r>
          </w:p>
        </w:tc>
      </w:tr>
    </w:tbl>
    <w:p>
      <w:pPr>
        <w:spacing w:after="120" w:line="300" w:lineRule="auto"/>
      </w:pPr>
      <w:r>
        <w:rPr>
          <w:rFonts w:ascii="Microsoft JhengHei" w:hAnsi="Microsoft JhengHei" w:eastAsia="Microsoft JhengHei"/>
          <w:b/>
          <w:color w:val="000000"/>
          <w:sz w:val="21"/>
        </w:rPr>
      </w:r>
      <w:r>
        <w:rPr>
          <w:rFonts w:ascii="Microsoft JhengHei" w:hAnsi="Microsoft JhengHei" w:eastAsia="Microsoft JhengHei"/>
          <w:b w:val="0"/>
          <w:color w:val="000000"/>
          <w:sz w:val="21"/>
        </w:rPr>
        <w:t>建議流程　廠商自主查核 → 公司外部巡檢 → 進料抽驗 → 公司製程巡檢 → 最終成品確認</w:t>
      </w:r>
    </w:p>
    <w:p>
      <w:pPr>
        <w:pStyle w:val="Heading2"/>
      </w:pPr>
      <w:r>
        <w:t>10.3 廠商巡檢單基本紀錄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供應商名稱、巡檢日期、料號、品名、批號及生產數量。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巡檢階段、抽樣方式、檢驗項目、規格與實際量測結果。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異常內容、照片、隔離數量、供應商回覆及暫行處置。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改善責任人、預定完成日期、複驗結果及追蹤結論。</w:t>
      </w:r>
    </w:p>
    <w:p>
      <w:pPr>
        <w:pStyle w:val="Heading2"/>
      </w:pPr>
      <w:r>
        <w:t>10.4 建議執行時機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新供應商、新料件或新製程首次量產時。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重要料件、急單、大批量生產或交期風險較高時。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進料異常重複發生、改善效果不明或客戶有特別要求時。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供應商發生設備、材料、人員或製程重大變更時。</w:t>
      </w:r>
    </w:p>
    <w:p>
      <w:pPr>
        <w:pStyle w:val="Heading2"/>
      </w:pPr>
      <w:r>
        <w:t>10.5 現場執行原則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巡檢前確認圖面、規格、承認樣品、抽驗計畫及重點項目。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優先確認首件、關鍵尺寸、裝配功能、特殊製程及既有異常項目。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量測設備須確認校驗狀態；巡檢數據與照片應可追溯至批次。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發現重大異常時，要求供應商先隔離並停止出貨或持續生產，再依權責通報。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巡檢結束後與供應商確認問題、責任人、改善期限及後續複驗方式。</w:t>
      </w:r>
    </w:p>
    <w:p>
      <w:pPr>
        <w:spacing w:before="120"/>
      </w:pPr>
      <w:r>
        <w:rPr>
          <w:rFonts w:ascii="Calibri" w:hAnsi="Calibri" w:eastAsia="Microsoft JhengHei"/>
          <w:b/>
          <w:color w:val="C00000"/>
          <w:sz w:val="20"/>
        </w:rPr>
        <w:t>注意：</w:t>
      </w:r>
      <w:r>
        <w:rPr>
          <w:rFonts w:ascii="Calibri" w:hAnsi="Calibri" w:eastAsia="Microsoft JhengHei"/>
          <w:b w:val="0"/>
          <w:color w:val="000000"/>
          <w:sz w:val="20"/>
        </w:rPr>
        <w:t>外部巡檢不取代供應商自主管理責任；巡檢結果與放行方式仍依公司規範及權責核准辦理。</w:t>
      </w:r>
    </w:p>
    <w:p>
      <w:pPr>
        <w:pStyle w:val="Heading2"/>
      </w:pPr>
      <w:r>
        <w:t>10.6 例外管理與進料減量檢驗</w:t>
      </w:r>
    </w:p>
    <w:p>
      <w:pPr>
        <w:spacing w:after="120" w:line="300" w:lineRule="auto"/>
      </w:pPr>
      <w:r>
        <w:rPr>
          <w:rFonts w:ascii="Microsoft JhengHei" w:hAnsi="Microsoft JhengHei" w:eastAsia="Microsoft JhengHei"/>
          <w:b/>
          <w:color w:val="000000"/>
          <w:sz w:val="21"/>
        </w:rPr>
        <w:t xml:space="preserve">管制原則　</w:t>
      </w:r>
      <w:r>
        <w:rPr>
          <w:rFonts w:ascii="Microsoft JhengHei" w:hAnsi="Microsoft JhengHei" w:eastAsia="Microsoft JhengHei"/>
          <w:b w:val="0"/>
          <w:color w:val="000000"/>
          <w:sz w:val="21"/>
        </w:rPr>
        <w:t>外部巡檢、減量檢驗、免驗或特採等例外方式，都必須建立適用條件、核准權責、風險控制及恢復正常檢驗的標準，並以後續進料與製程數據持續驗證。</w:t>
      </w:r>
    </w:p>
    <w:p>
      <w:r>
        <w:rPr>
          <w:rFonts w:ascii="Calibri" w:hAnsi="Calibri" w:eastAsia="Microsoft JhengHei"/>
          <w:b/>
          <w:color w:val="1F4D78"/>
          <w:sz w:val="21"/>
        </w:rPr>
        <w:t>管理原則：</w:t>
      </w:r>
      <w:r>
        <w:rPr>
          <w:rFonts w:ascii="Calibri" w:hAnsi="Calibri" w:eastAsia="Microsoft JhengHei"/>
          <w:b w:val="0"/>
          <w:color w:val="000000"/>
          <w:sz w:val="21"/>
        </w:rPr>
        <w:t>供應商端已完成外部巡檢，且結果合格、資料完整及品質狀態穩定時，可作為減少公司進料檢驗頻率、抽樣數或檢驗項目的依據。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減量檢驗須經公司權責人員核准，並明確記錄適用供應商、料號、期間、檢驗項目及核准條件。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外部巡檢紀錄須可追溯至出貨批次，並包含實際量測數據、判定結果、異常處置及必要照片。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關鍵品質特性、安全性項目及法規要求項目，是否可減量應依風險與公司規定個別評估。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減量期間仍應進行基本核對，例如料號、批號、數量、包裝、標示及外觀狀態。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如發生進料不合格、生產異常、客訴、供應商製程變更或紀錄不完整，應立即取消例外並恢復正常或加嚴檢驗。</w:t>
      </w:r>
    </w:p>
    <w:p>
      <w:pPr>
        <w:pStyle w:val="ListBullet"/>
        <w:spacing w:after="80" w:line="283" w:lineRule="auto"/>
      </w:pPr>
      <w:r>
        <w:rPr>
          <w:rFonts w:ascii="Calibri" w:hAnsi="Calibri" w:eastAsia="Microsoft JhengHei"/>
          <w:b w:val="0"/>
          <w:color w:val="000000"/>
          <w:sz w:val="21"/>
        </w:rPr>
        <w:t>供應商品質恢復穩定並完成改善確認後，方可重新提出減量檢驗申請。</w:t>
      </w:r>
    </w:p>
    <w:p>
      <w:pPr>
        <w:spacing w:before="120"/>
      </w:pPr>
      <w:r>
        <w:rPr>
          <w:rFonts w:ascii="Calibri" w:hAnsi="Calibri" w:eastAsia="Microsoft JhengHei"/>
          <w:b/>
          <w:color w:val="C00000"/>
          <w:sz w:val="20"/>
        </w:rPr>
        <w:t>提醒：</w:t>
      </w:r>
      <w:r>
        <w:rPr>
          <w:rFonts w:ascii="Calibri" w:hAnsi="Calibri" w:eastAsia="Microsoft JhengHei"/>
          <w:b w:val="0"/>
          <w:color w:val="000000"/>
          <w:sz w:val="20"/>
        </w:rPr>
        <w:t>外部巡檢可降低重複檢驗，但不等同永久免驗；公司仍保留抽查、複驗與取消減量資格的權利。</w:t>
      </w:r>
    </w:p>
    <w:p>
      <w:r>
        <w:br w:type="page"/>
      </w:r>
    </w:p>
    <w:p>
      <w:pPr>
        <w:pStyle w:val="Heading1"/>
      </w:pPr>
      <w:r>
        <w:t>附錄 A　105E 正常檢驗－單次抽樣補充說明</w:t>
      </w:r>
    </w:p>
    <w:p>
      <w:r>
        <w:rPr>
          <w:rFonts w:ascii="Calibri" w:hAnsi="Calibri" w:eastAsia="Microsoft JhengHei"/>
          <w:b/>
          <w:color w:val="1F4D78"/>
          <w:sz w:val="21"/>
        </w:rPr>
        <w:t>適用範圍：</w:t>
      </w:r>
      <w:r>
        <w:rPr>
          <w:rFonts w:ascii="Calibri" w:hAnsi="Calibri" w:eastAsia="Microsoft JhengHei"/>
          <w:b w:val="0"/>
          <w:color w:val="000000"/>
          <w:sz w:val="21"/>
        </w:rPr>
        <w:t>本公司進料檢驗僅使用正常檢驗的單次抽樣計畫；不提供加嚴及減量檢驗方式。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先依進料批量及品質風險選擇檢驗水準：S-1、S-3或一般檢驗水準 I。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由 MIL-STD-105E 表 I 查得樣本大小代字。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再由表 II-A（正常檢驗單次抽樣計畫）及指定 AQL 查得樣本數、允收數 Ac與拒收數 Re。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目前主要允收品質水準採 AQL 0.65；如公司另有核准規定，依核准文件辦理。</w:t>
      </w:r>
    </w:p>
    <w:p>
      <w:pPr>
        <w:pStyle w:val="ListBullet"/>
        <w:spacing w:after="80" w:line="276" w:lineRule="auto"/>
      </w:pPr>
      <w:r>
        <w:rPr>
          <w:rFonts w:ascii="Calibri" w:hAnsi="Calibri" w:eastAsia="Microsoft JhengHei"/>
          <w:b w:val="0"/>
          <w:color w:val="000000"/>
          <w:sz w:val="20"/>
        </w:rPr>
        <w:t>抽樣須分散於不同箱別、位置、模穴或生產時段，確保樣本具有代表性。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200"/>
        <w:gridCol w:w="2400"/>
        <w:gridCol w:w="4760"/>
      </w:tblGrid>
      <w:tr>
        <w:trPr>
          <w:tblHeader w:val="true"/>
        </w:trPr>
        <w:tc>
          <w:tcPr>
            <w:tcW w:type="dxa" w:w="22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品質風險</w:t>
            </w:r>
          </w:p>
        </w:tc>
        <w:tc>
          <w:tcPr>
            <w:tcW w:type="dxa" w:w="24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使用水準</w:t>
            </w:r>
          </w:p>
        </w:tc>
        <w:tc>
          <w:tcPr>
            <w:tcW w:type="dxa" w:w="47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適用情況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高風險／關鍵尺寸</w:t>
            </w:r>
          </w:p>
        </w:tc>
        <w:tc>
          <w:tcPr>
            <w:tcW w:type="dxa" w:w="24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一般檢驗水準 I</w:t>
            </w:r>
          </w:p>
        </w:tc>
        <w:tc>
          <w:tcPr>
            <w:tcW w:type="dxa" w:w="47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影響裝配、功能、安全、客戶要求或經常異常。</w:t>
            </w:r>
          </w:p>
        </w:tc>
      </w:tr>
      <w:tr>
        <w:tc>
          <w:tcPr>
            <w:tcW w:type="dxa" w:w="22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中風險</w:t>
            </w:r>
          </w:p>
        </w:tc>
        <w:tc>
          <w:tcPr>
            <w:tcW w:type="dxa" w:w="24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特殊檢驗水準 S-3</w:t>
            </w:r>
          </w:p>
        </w:tc>
        <w:tc>
          <w:tcPr>
            <w:tcW w:type="dxa" w:w="47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一般尺寸，或供應商品質尚未完全穩定。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低風險</w:t>
            </w:r>
          </w:p>
        </w:tc>
        <w:tc>
          <w:tcPr>
            <w:tcW w:type="dxa" w:w="24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特殊檢驗水準 S-1</w:t>
            </w:r>
          </w:p>
        </w:tc>
        <w:tc>
          <w:tcPr>
            <w:tcW w:type="dxa" w:w="47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長期穩定、非關鍵項目，或已有合格外部巡檢紀錄。</w:t>
            </w:r>
          </w:p>
        </w:tc>
      </w:tr>
    </w:tbl>
    <w:p>
      <w:pPr>
        <w:spacing w:before="120"/>
      </w:pPr>
      <w:r>
        <w:rPr>
          <w:rFonts w:ascii="Calibri" w:hAnsi="Calibri" w:eastAsia="Microsoft JhengHei"/>
          <w:b/>
          <w:color w:val="C00000"/>
          <w:sz w:val="20"/>
        </w:rPr>
        <w:t>注意：</w:t>
      </w:r>
      <w:r>
        <w:rPr>
          <w:rFonts w:ascii="Calibri" w:hAnsi="Calibri" w:eastAsia="Microsoft JhengHei"/>
          <w:b w:val="0"/>
          <w:color w:val="000000"/>
          <w:sz w:val="20"/>
        </w:rPr>
        <w:t>105E／AQL適用於合格與不合格等計數型允收判定；尺寸計量值仍須依規格上下限逐件判定，並可另以 SPC 監控趨勢。</w:t>
      </w:r>
    </w:p>
    <w:p>
      <w:r>
        <w:br w:type="page"/>
      </w:r>
    </w:p>
    <w:p>
      <w:pPr>
        <w:pStyle w:val="Heading1"/>
      </w:pPr>
      <w:r>
        <w:t>附錄 B　常用量具與檢驗設備</w:t>
      </w:r>
    </w:p>
    <w:p>
      <w:r>
        <w:rPr>
          <w:rFonts w:ascii="Calibri" w:hAnsi="Calibri" w:eastAsia="Microsoft JhengHei"/>
          <w:b/>
          <w:color w:val="1F4D78"/>
          <w:sz w:val="21"/>
        </w:rPr>
        <w:t>使用前共同確認：</w:t>
      </w:r>
      <w:r>
        <w:rPr>
          <w:rFonts w:ascii="Calibri" w:hAnsi="Calibri" w:eastAsia="Microsoft JhengHei"/>
          <w:b w:val="0"/>
          <w:color w:val="000000"/>
          <w:sz w:val="21"/>
        </w:rPr>
        <w:t>量具校驗在有效期內、外觀完好、量測面清潔、歸零正常，且解析度符合圖面公差。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200"/>
        <w:gridCol w:w="3000"/>
        <w:gridCol w:w="4160"/>
      </w:tblGrid>
      <w:tr>
        <w:trPr>
          <w:tblHeader w:val="true"/>
        </w:trPr>
        <w:tc>
          <w:tcPr>
            <w:tcW w:type="dxa" w:w="22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量具／設備</w:t>
            </w:r>
          </w:p>
        </w:tc>
        <w:tc>
          <w:tcPr>
            <w:tcW w:type="dxa" w:w="30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主要用途</w:t>
            </w:r>
          </w:p>
        </w:tc>
        <w:tc>
          <w:tcPr>
            <w:tcW w:type="dxa" w:w="41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 w:eastAsia="Microsoft JhengHei"/>
                <w:b/>
                <w:color w:val="1F4D78"/>
                <w:sz w:val="20"/>
              </w:rPr>
              <w:t>操作注意事項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游標卡尺</w:t>
            </w:r>
          </w:p>
        </w:tc>
        <w:tc>
          <w:tcPr>
            <w:tcW w:type="dxa" w:w="30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長度、外徑、內徑、深度及段差</w:t>
            </w:r>
          </w:p>
        </w:tc>
        <w:tc>
          <w:tcPr>
            <w:tcW w:type="dxa" w:w="41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量測面保持平行，施力適中；避免以卡尺取代更高精度量具。</w:t>
            </w:r>
          </w:p>
        </w:tc>
      </w:tr>
      <w:tr>
        <w:tc>
          <w:tcPr>
            <w:tcW w:type="dxa" w:w="22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外徑千分尺</w:t>
            </w:r>
          </w:p>
        </w:tc>
        <w:tc>
          <w:tcPr>
            <w:tcW w:type="dxa" w:w="30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厚度、外徑及精密尺寸</w:t>
            </w:r>
          </w:p>
        </w:tc>
        <w:tc>
          <w:tcPr>
            <w:tcW w:type="dxa" w:w="41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使用棘輪定壓，確認歸零與量測範圍。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高度規</w:t>
            </w:r>
          </w:p>
        </w:tc>
        <w:tc>
          <w:tcPr>
            <w:tcW w:type="dxa" w:w="30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高度、段差及位置尺寸</w:t>
            </w:r>
          </w:p>
        </w:tc>
        <w:tc>
          <w:tcPr>
            <w:tcW w:type="dxa" w:w="41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須搭配平整平台，確認基準面清潔。</w:t>
            </w:r>
          </w:p>
        </w:tc>
      </w:tr>
      <w:tr>
        <w:tc>
          <w:tcPr>
            <w:tcW w:type="dxa" w:w="22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膜厚計</w:t>
            </w:r>
          </w:p>
        </w:tc>
        <w:tc>
          <w:tcPr>
            <w:tcW w:type="dxa" w:w="30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塗層、鍍層或表面處理膜厚</w:t>
            </w:r>
          </w:p>
        </w:tc>
        <w:tc>
          <w:tcPr>
            <w:tcW w:type="dxa" w:w="41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依底材與探頭校正，選擇適當量測位置並取多點數據。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2D 掃描機</w:t>
            </w:r>
          </w:p>
        </w:tc>
        <w:tc>
          <w:tcPr>
            <w:tcW w:type="dxa" w:w="30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輪廓、孔位、距離及平面尺寸</w:t>
            </w:r>
          </w:p>
        </w:tc>
        <w:tc>
          <w:tcPr>
            <w:tcW w:type="dxa" w:w="41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正確建立基準與倍率，避免工件傾斜影響結果。</w:t>
            </w:r>
          </w:p>
        </w:tc>
      </w:tr>
      <w:tr>
        <w:tc>
          <w:tcPr>
            <w:tcW w:type="dxa" w:w="22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3D 掃描儀（三次元）</w:t>
            </w:r>
          </w:p>
        </w:tc>
        <w:tc>
          <w:tcPr>
            <w:tcW w:type="dxa" w:w="30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立體輪廓、位置度、曲面及複雜幾何尺寸</w:t>
            </w:r>
          </w:p>
        </w:tc>
        <w:tc>
          <w:tcPr>
            <w:tcW w:type="dxa" w:w="41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依標準程序校正、定位及建立座標基準。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牙距規</w:t>
            </w:r>
          </w:p>
        </w:tc>
        <w:tc>
          <w:tcPr>
            <w:tcW w:type="dxa" w:w="30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確認螺紋牙距</w:t>
            </w:r>
          </w:p>
        </w:tc>
        <w:tc>
          <w:tcPr>
            <w:tcW w:type="dxa" w:w="41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選擇正確規格，使規片與牙型完整貼合。</w:t>
            </w:r>
          </w:p>
        </w:tc>
      </w:tr>
      <w:tr>
        <w:tc>
          <w:tcPr>
            <w:tcW w:type="dxa" w:w="22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GO／NO-GO 通止治具</w:t>
            </w:r>
          </w:p>
        </w:tc>
        <w:tc>
          <w:tcPr>
            <w:tcW w:type="dxa" w:w="300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快速確認螺紋或配合尺寸是否落在允收範圍</w:t>
            </w:r>
          </w:p>
        </w:tc>
        <w:tc>
          <w:tcPr>
            <w:tcW w:type="dxa" w:w="4160"/>
            <w:shd w:fill="F8FAFC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GO端應通過、NO-GO端不得通過；不可強迫旋入或壓入。</w:t>
            </w:r>
          </w:p>
        </w:tc>
      </w:tr>
      <w:tr>
        <w:tc>
          <w:tcPr>
            <w:tcW w:type="dxa" w:w="22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/>
                <w:color w:val="1F4D78"/>
                <w:sz w:val="18"/>
              </w:rPr>
              <w:t>扭力工具</w:t>
            </w:r>
          </w:p>
        </w:tc>
        <w:tc>
          <w:tcPr>
            <w:tcW w:type="dxa" w:w="300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確認鎖付扭力及裝配狀態</w:t>
            </w:r>
          </w:p>
        </w:tc>
        <w:tc>
          <w:tcPr>
            <w:tcW w:type="dxa" w:w="4160"/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 w:eastAsia="Microsoft JhengHei"/>
                <w:b w:val="0"/>
                <w:color w:val="000000"/>
                <w:sz w:val="18"/>
              </w:rPr>
              <w:t>依指定扭力範圍使用，避免超量程並確認校驗狀態。</w:t>
            </w:r>
          </w:p>
        </w:tc>
      </w:tr>
    </w:tbl>
    <w:p>
      <w:pPr>
        <w:spacing w:before="120"/>
      </w:pPr>
      <w:r>
        <w:rPr>
          <w:rFonts w:ascii="Calibri" w:hAnsi="Calibri" w:eastAsia="Microsoft JhengHei"/>
          <w:b/>
          <w:color w:val="1F4D78"/>
          <w:sz w:val="20"/>
        </w:rPr>
        <w:t>後續補充：</w:t>
      </w:r>
      <w:r>
        <w:rPr>
          <w:rFonts w:ascii="Calibri" w:hAnsi="Calibri" w:eastAsia="Microsoft JhengHei"/>
          <w:b w:val="0"/>
          <w:color w:val="000000"/>
          <w:sz w:val="20"/>
        </w:rPr>
        <w:t>待提供現場量具照片後，可依本附錄順序加入設備照片、操作畫面及實際量測案例。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8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Microsoft JhengHei"/>
        <w:b w:val="0"/>
        <w:color w:val="666666"/>
        <w:sz w:val="17"/>
      </w:rPr>
      <w:t>進料檢驗新人教育手冊　｜　內部訓練用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Microsoft JhengHei"/>
        <w:b w:val="0"/>
        <w:color w:val="666666"/>
        <w:sz w:val="17"/>
      </w:rPr>
      <w:t>品檢組｜新人教育訓練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Microsoft JhengHei" w:hAnsi="Microsoft JhengHei" w:eastAsia="Microsoft Jheng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Microsoft JhengHei" w:hAnsi="Microsoft JhengHei" w:eastAsia="Microsoft Jheng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Microsoft JhengHei" w:hAnsi="Microsoft JhengHei" w:eastAsia="Microsoft JhengHei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Microsoft JhengHei" w:hAnsi="Microsoft JhengHei" w:eastAsia="Microsoft Jheng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進料檢驗新人教育手冊－修訂版10</dc:title>
  <dc:subject>進料檢驗與供應商品質管理教育訓練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