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 w:after="360"/>
        <w:jc w:val="center"/>
      </w:pPr>
      <w:r>
        <w:rPr>
          <w:rFonts w:ascii="Microsoft JhengHei" w:hAnsi="Microsoft JhengHei" w:eastAsia="Microsoft JhengHei"/>
          <w:b/>
          <w:color w:val="1F4E78"/>
          <w:sz w:val="24"/>
        </w:rPr>
        <w:t>品質管理 製程巡檢系列</w:t>
      </w:r>
    </w:p>
    <w:p>
      <w:pPr>
        <w:pStyle w:val="Title"/>
        <w:jc w:val="center"/>
      </w:pPr>
      <w:r>
        <w:rPr>
          <w:rFonts w:ascii="Microsoft JhengHei" w:hAnsi="Microsoft JhengHei" w:eastAsia="Microsoft JhengHei"/>
          <w:b/>
          <w:color w:val="000000"/>
          <w:sz w:val="50"/>
        </w:rPr>
        <w:t>QC製程巡檢教育手冊</w:t>
      </w:r>
    </w:p>
    <w:p>
      <w:pPr>
        <w:pStyle w:val="Subtitle"/>
        <w:jc w:val="center"/>
      </w:pPr>
      <w:r>
        <w:rPr>
          <w:rFonts w:ascii="Microsoft JhengHei" w:hAnsi="Microsoft JhengHei" w:eastAsia="Microsoft JhengHei"/>
          <w:b w:val="0"/>
          <w:color w:val="666666"/>
          <w:sz w:val="26"/>
        </w:rPr>
        <w:t>依品檢組教育訓練課綱第三篇編排</w:t>
      </w:r>
    </w:p>
    <w:p>
      <w:pPr>
        <w:spacing w:before="320" w:after="400"/>
        <w:jc w:val="center"/>
      </w:pPr>
      <w:r>
        <w:rPr>
          <w:rFonts w:ascii="Microsoft JhengHei" w:hAnsi="Microsoft JhengHei" w:eastAsia="Microsoft JhengHei"/>
          <w:b/>
          <w:color w:val="1F4E78"/>
          <w:sz w:val="30"/>
        </w:rPr>
        <w:t>穩定製程　改善製程　提高效率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本手冊供品檢組及需要了解製程巡檢的相關同仁使用。內容以現場可執行的巡檢流程為主，說明如何取得可信資料、判讀製程狀態、控制異常並驗證改善結果。</w:t>
      </w:r>
    </w:p>
    <w:p>
      <w:pPr>
        <w:spacing w:after="160" w:line="307" w:lineRule="auto"/>
      </w:pPr>
      <w:r>
        <w:rPr>
          <w:rFonts w:ascii="Microsoft JhengHei" w:hAnsi="Microsoft JhengHei" w:eastAsia="Microsoft JhengHei"/>
          <w:b/>
          <w:color w:val="000000"/>
          <w:sz w:val="22"/>
        </w:rPr>
        <w:t xml:space="preserve">核心觀念　</w:t>
      </w:r>
      <w:r>
        <w:rPr>
          <w:rFonts w:ascii="Microsoft JhengHei" w:hAnsi="Microsoft JhengHei" w:eastAsia="Microsoft JhengHei"/>
          <w:color w:val="000000"/>
          <w:sz w:val="22"/>
        </w:rPr>
        <w:t>巡檢不是單純檢查作業錯誤，而是利用產品與製程資料確認製程能否持續穩定地做對。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巡檢不是為了找麻煩，而是在問題仍可控制時及早發現異常，避免微小偏差在無形中持續擴大。停線也不是為了為難生產線，而是在風險尚未釐清時，防止不良品繼續產生或流到客戶手中。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97"/>
        <w:gridCol w:w="4997"/>
      </w:tblGrid>
      <w:tr>
        <w:trPr>
          <w:tblHeader w:val="true"/>
          <w:cantSplit/>
        </w:trPr>
        <w:tc>
          <w:tcPr>
            <w:tcW w:type="dxa" w:w="208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文件項目</w:t>
            </w:r>
          </w:p>
        </w:tc>
        <w:tc>
          <w:tcPr>
            <w:tcW w:type="dxa" w:w="748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內容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適用範圍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大表、小表、內仁班、加工組、組裝班及製檢班之製程巡檢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課綱對應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第三篇 QC製程巡檢 IPQC　第8至第12單元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文件狀態</w:t>
            </w:r>
          </w:p>
        </w:tc>
        <w:tc>
          <w:tcPr>
            <w:tcW w:type="dxa" w:w="74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第1版　2026年9月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課程排程與手冊架構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本手冊依品檢組教育訓練課綱的 QC 製程巡檢排程編排。每一章直接對應一個課綱單元，便於依排程授課、實作與後續補充公司表單。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8"/>
        <w:gridCol w:w="2498"/>
        <w:gridCol w:w="2498"/>
        <w:gridCol w:w="2498"/>
      </w:tblGrid>
      <w:tr>
        <w:trPr>
          <w:tblHeader w:val="true"/>
          <w:cantSplit/>
        </w:trPr>
        <w:tc>
          <w:tcPr>
            <w:tcW w:type="dxa" w:w="118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課綱單元</w:t>
            </w:r>
          </w:p>
        </w:tc>
        <w:tc>
          <w:tcPr>
            <w:tcW w:type="dxa" w:w="204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手冊章節</w:t>
            </w:r>
          </w:p>
        </w:tc>
        <w:tc>
          <w:tcPr>
            <w:tcW w:type="dxa" w:w="309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學習重點</w:t>
            </w:r>
          </w:p>
        </w:tc>
        <w:tc>
          <w:tcPr>
            <w:tcW w:type="dxa" w:w="325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完成後應具備的能力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第8單元</w:t>
            </w:r>
          </w:p>
        </w:tc>
        <w:tc>
          <w:tcPr>
            <w:tcW w:type="dxa" w:w="20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第一章 製程巡檢基礎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目的、差異、首件巡檢、製程巡檢與即時控制</w:t>
            </w:r>
          </w:p>
        </w:tc>
        <w:tc>
          <w:tcPr>
            <w:tcW w:type="dxa" w:w="32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說明巡檢目的並依規定時點執行確認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第9單元</w:t>
            </w:r>
          </w:p>
        </w:tc>
        <w:tc>
          <w:tcPr>
            <w:tcW w:type="dxa" w:w="20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第二章 製程巡檢範圍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大表、小表及各班組巡檢範圍</w:t>
            </w:r>
          </w:p>
        </w:tc>
        <w:tc>
          <w:tcPr>
            <w:tcW w:type="dxa" w:w="32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依站別辨識查核重點與資料來源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第10單元</w:t>
            </w:r>
          </w:p>
        </w:tc>
        <w:tc>
          <w:tcPr>
            <w:tcW w:type="dxa" w:w="20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第三章 製程巡檢內容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文件、查核點、抽樣、量測與紀錄</w:t>
            </w:r>
          </w:p>
        </w:tc>
        <w:tc>
          <w:tcPr>
            <w:tcW w:type="dxa" w:w="32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取得可比較且可追溯的巡檢資料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第11單元</w:t>
            </w:r>
          </w:p>
        </w:tc>
        <w:tc>
          <w:tcPr>
            <w:tcW w:type="dxa" w:w="20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第四章 製程異常處理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隔離、追溯、通報、處置及恢復</w:t>
            </w:r>
          </w:p>
        </w:tc>
        <w:tc>
          <w:tcPr>
            <w:tcW w:type="dxa" w:w="32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依風險控制異常與受影響產品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第12單元</w:t>
            </w:r>
          </w:p>
        </w:tc>
        <w:tc>
          <w:tcPr>
            <w:tcW w:type="dxa" w:w="20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第五章 製程資料與SPC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數據分組、管制圖、界線判讀與改善</w:t>
            </w:r>
          </w:p>
        </w:tc>
        <w:tc>
          <w:tcPr>
            <w:tcW w:type="dxa" w:w="325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分辨穩定性與符合性並追蹤改善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學習路徑</w:t>
      </w:r>
    </w:p>
    <w:p>
      <w:pPr>
        <w:spacing w:before="100" w:after="200"/>
        <w:jc w:val="center"/>
      </w:pPr>
      <w:r>
        <w:rPr>
          <w:rFonts w:ascii="Microsoft JhengHei" w:hAnsi="Microsoft JhengHei" w:eastAsia="Microsoft JhengHei"/>
          <w:b/>
          <w:color w:val="1F4E78"/>
          <w:sz w:val="23"/>
        </w:rPr>
        <w:t>確認標準  →  隨機抽樣  →  正確量測  →  記錄數據  →  判讀變化  →  控制異常  →  驗證改善</w:t>
      </w:r>
    </w:p>
    <w:p>
      <w:pPr>
        <w:spacing w:after="160" w:line="307" w:lineRule="auto"/>
      </w:pPr>
      <w:r>
        <w:rPr>
          <w:rFonts w:ascii="Microsoft JhengHei" w:hAnsi="Microsoft JhengHei" w:eastAsia="Microsoft JhengHei"/>
          <w:b/>
          <w:color w:val="000000"/>
          <w:sz w:val="22"/>
        </w:rPr>
        <w:t xml:space="preserve">停止判定原則　</w:t>
      </w:r>
      <w:r>
        <w:rPr>
          <w:rFonts w:ascii="Microsoft JhengHei" w:hAnsi="Microsoft JhengHei" w:eastAsia="Microsoft JhengHei"/>
          <w:color w:val="000000"/>
          <w:sz w:val="22"/>
        </w:rPr>
        <w:t>資料版本與圖面不符、量具失效或判定標準不清時，先停止判定並向主管確認。停止判定不等同於一律停線，是否停線仍須依產品風險、影響範圍與既定反應計畫決定。</w:t>
      </w:r>
    </w:p>
    <w:p>
      <w:r>
        <w:br w:type="page"/>
      </w:r>
    </w:p>
    <w:p>
      <w:pPr>
        <w:pStyle w:val="Heading1"/>
        <w:keepNext/>
      </w:pPr>
      <w:r>
        <w:t>第一章 製程巡檢基礎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本章對應課綱第8單元，先建立巡檢目的、巡檢時點與即時控制的共同觀念。</w:t>
      </w:r>
    </w:p>
    <w:p>
      <w:pPr>
        <w:pStyle w:val="Heading2"/>
        <w:keepNext/>
      </w:pPr>
      <w:r>
        <w:t>巡檢核心目的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58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核心目標</w:t>
            </w:r>
          </w:p>
        </w:tc>
        <w:tc>
          <w:tcPr>
            <w:tcW w:type="dxa" w:w="453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實際意義</w:t>
            </w:r>
          </w:p>
        </w:tc>
        <w:tc>
          <w:tcPr>
            <w:tcW w:type="dxa" w:w="345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預期結果</w:t>
            </w:r>
          </w:p>
        </w:tc>
      </w:tr>
      <w:tr>
        <w:trPr>
          <w:cantSplit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穩定製程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確認人員、設備、材料、方法、環境及量測條件維持受控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降低製程波動與突發異常</w:t>
            </w:r>
          </w:p>
        </w:tc>
      </w:tr>
      <w:tr>
        <w:trPr>
          <w:cantSplit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改善製程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利用連續巡檢資料找出變異來源與重複問題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建立有效改善與標準化依據</w:t>
            </w:r>
          </w:p>
        </w:tc>
      </w:tr>
      <w:tr>
        <w:trPr>
          <w:cantSplit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提高效率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減少大量不良、剔選、重工、停線及重複檢驗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縮短處理時間並降低品質成本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製程巡檢與進料檢驗的差異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655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比較項目</w:t>
            </w:r>
          </w:p>
        </w:tc>
        <w:tc>
          <w:tcPr>
            <w:tcW w:type="dxa" w:w="391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進料檢驗 IQC</w:t>
            </w:r>
          </w:p>
        </w:tc>
        <w:tc>
          <w:tcPr>
            <w:tcW w:type="dxa" w:w="4003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製程巡檢 IPQC</w:t>
            </w:r>
          </w:p>
        </w:tc>
      </w:tr>
      <w:tr>
        <w:trPr>
          <w:cantSplit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主要對象</w:t>
            </w:r>
          </w:p>
        </w:tc>
        <w:tc>
          <w:tcPr>
            <w:tcW w:type="dxa" w:w="39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供應商來料</w:t>
            </w:r>
          </w:p>
        </w:tc>
        <w:tc>
          <w:tcPr>
            <w:tcW w:type="dxa" w:w="40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生產中的產品與製程條件</w:t>
            </w:r>
          </w:p>
        </w:tc>
      </w:tr>
      <w:tr>
        <w:trPr>
          <w:cantSplit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主要目的</w:t>
            </w:r>
          </w:p>
        </w:tc>
        <w:tc>
          <w:tcPr>
            <w:tcW w:type="dxa" w:w="39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避免不符合要求的物料流入</w:t>
            </w:r>
          </w:p>
        </w:tc>
        <w:tc>
          <w:tcPr>
            <w:tcW w:type="dxa" w:w="40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維持製程穩定並避免異常擴大</w:t>
            </w:r>
          </w:p>
        </w:tc>
      </w:tr>
      <w:tr>
        <w:trPr>
          <w:cantSplit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資料用途</w:t>
            </w:r>
          </w:p>
        </w:tc>
        <w:tc>
          <w:tcPr>
            <w:tcW w:type="dxa" w:w="39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批次接收與供應商品質管理</w:t>
            </w:r>
          </w:p>
        </w:tc>
        <w:tc>
          <w:tcPr>
            <w:tcW w:type="dxa" w:w="40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趨勢分析、特殊原因調查與製程改善</w:t>
            </w:r>
          </w:p>
        </w:tc>
      </w:tr>
      <w:tr>
        <w:trPr>
          <w:cantSplit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處理重點</w:t>
            </w:r>
          </w:p>
        </w:tc>
        <w:tc>
          <w:tcPr>
            <w:tcW w:type="dxa" w:w="391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判定、隔離、退貨或特採</w:t>
            </w:r>
          </w:p>
        </w:tc>
        <w:tc>
          <w:tcPr>
            <w:tcW w:type="dxa" w:w="40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即時控制、追溯範圍、驗證恢復與標準化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品質三關與承上啟下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699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品質關卡</w:t>
            </w:r>
          </w:p>
        </w:tc>
        <w:tc>
          <w:tcPr>
            <w:tcW w:type="dxa" w:w="348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主要責任</w:t>
            </w:r>
          </w:p>
        </w:tc>
        <w:tc>
          <w:tcPr>
            <w:tcW w:type="dxa" w:w="4392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與製程巡檢的關係</w:t>
            </w:r>
          </w:p>
        </w:tc>
      </w:tr>
      <w:tr>
        <w:trPr>
          <w:cantSplit/>
        </w:trPr>
        <w:tc>
          <w:tcPr>
            <w:tcW w:type="dxa" w:w="16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進料檢驗</w:t>
            </w:r>
          </w:p>
        </w:tc>
        <w:tc>
          <w:tcPr>
            <w:tcW w:type="dxa" w:w="34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阻止不符合要求的物料進入公司</w:t>
            </w:r>
          </w:p>
        </w:tc>
        <w:tc>
          <w:tcPr>
            <w:tcW w:type="dxa" w:w="43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製程巡檢可驗證供應商改善後的物料，在實際加工與組裝時是否穩定</w:t>
            </w:r>
          </w:p>
        </w:tc>
      </w:tr>
      <w:tr>
        <w:trPr>
          <w:cantSplit/>
        </w:trPr>
        <w:tc>
          <w:tcPr>
            <w:tcW w:type="dxa" w:w="16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製程巡檢</w:t>
            </w:r>
          </w:p>
        </w:tc>
        <w:tc>
          <w:tcPr>
            <w:tcW w:type="dxa" w:w="34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在生產過程中控制變異、避免不良擴大並推動改善</w:t>
            </w:r>
          </w:p>
        </w:tc>
        <w:tc>
          <w:tcPr>
            <w:tcW w:type="dxa" w:w="43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承接進料結果，利用數據調整製程，並降低後段品質與交期風險</w:t>
            </w:r>
          </w:p>
        </w:tc>
      </w:tr>
      <w:tr>
        <w:trPr>
          <w:cantSplit/>
        </w:trPr>
        <w:tc>
          <w:tcPr>
            <w:tcW w:type="dxa" w:w="16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最終成品檢驗</w:t>
            </w:r>
          </w:p>
        </w:tc>
        <w:tc>
          <w:tcPr>
            <w:tcW w:type="dxa" w:w="34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確認成品符合功能、規格及放行要求</w:t>
            </w:r>
          </w:p>
        </w:tc>
        <w:tc>
          <w:tcPr>
            <w:tcW w:type="dxa" w:w="43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製程巡檢越早控制異常，最終階段的重工、重測與排程壓力越低</w:t>
            </w:r>
          </w:p>
        </w:tc>
      </w:tr>
    </w:tbl>
    <w:p>
      <w:pPr>
        <w:spacing w:after="0"/>
      </w:pP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三個關卡都重要，但功能不同。進料檢驗守住來源，製程巡檢控制過程並驗證改善，最終成品檢驗守住客戶；任何一關都不能取代其他關卡。</w:t>
      </w:r>
    </w:p>
    <w:p>
      <w:pPr>
        <w:pStyle w:val="Heading2"/>
        <w:keepNext/>
      </w:pPr>
      <w:r>
        <w:t>首件與製程巡檢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58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時點</w:t>
            </w:r>
          </w:p>
        </w:tc>
        <w:tc>
          <w:tcPr>
            <w:tcW w:type="dxa" w:w="324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確認目的</w:t>
            </w:r>
          </w:p>
        </w:tc>
        <w:tc>
          <w:tcPr>
            <w:tcW w:type="dxa" w:w="4752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主要確認內容</w:t>
            </w:r>
          </w:p>
        </w:tc>
      </w:tr>
      <w:tr>
        <w:trPr>
          <w:cantSplit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首件巡檢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確認開線條件正確：製程參數已設定、物料到達定位，且工法符合標準</w:t>
            </w:r>
          </w:p>
        </w:tc>
        <w:tc>
          <w:tcPr>
            <w:tcW w:type="dxa" w:w="47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工單、料號、製程參數、物料定位、設備治具、標準工法及首件品質</w:t>
            </w:r>
          </w:p>
        </w:tc>
      </w:tr>
      <w:tr>
        <w:trPr>
          <w:cantSplit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製程巡檢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確認既定製程能力持續被維持，使製程結果可信且可重複執行</w:t>
            </w:r>
          </w:p>
        </w:tc>
        <w:tc>
          <w:tcPr>
            <w:tcW w:type="dxa" w:w="47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隨機抽樣結果、製程參數、設備與治具狀態、異常訊號及改善後穩定性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製程異常的即時控制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即時控制的目的，是在資訊仍不完整時先限制風險，再補齊資料完成分析。控制動作應依異常嚴重度選擇，不以單一數據點機械式決定停線。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確認量測值、量具、量測位置及輸入資料是否可信。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確認產品是否接近或超出規格，以及異常是否持續擴大。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必要時縮短巡檢間隔、增加樣本、隔離產品或依反應計畫停線。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保留調整前後數據，避免只完成調機卻沒有驗證製程是否恢復。</w:t>
      </w:r>
    </w:p>
    <w:p>
      <w:pPr>
        <w:pStyle w:val="Heading1"/>
        <w:keepNext/>
      </w:pPr>
      <w:r>
        <w:t>第二章 製程巡檢範圍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本章對應課綱第9單元。先確認製程巡檢涵蓋的區域；各區的實際檢驗項目、方法、頻率、判定標準及使用資料，須依公司現行巡檢單與核准文件確認後建立，不可自行推定。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97"/>
        <w:gridCol w:w="4997"/>
      </w:tblGrid>
      <w:tr>
        <w:trPr>
          <w:tblHeader w:val="true"/>
          <w:cantSplit/>
        </w:trPr>
        <w:tc>
          <w:tcPr>
            <w:tcW w:type="dxa" w:w="2592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巡檢區域</w:t>
            </w:r>
          </w:p>
        </w:tc>
        <w:tc>
          <w:tcPr>
            <w:tcW w:type="dxa" w:w="705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內容狀態</w:t>
            </w:r>
          </w:p>
        </w:tc>
      </w:tr>
      <w:tr>
        <w:trPr>
          <w:cantSplit/>
        </w:trPr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大表巡檢</w:t>
            </w:r>
          </w:p>
        </w:tc>
        <w:tc>
          <w:tcPr>
            <w:tcW w:type="dxa" w:w="70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待依公司現行巡檢單與核准文件確認</w:t>
            </w:r>
          </w:p>
        </w:tc>
      </w:tr>
      <w:tr>
        <w:trPr>
          <w:cantSplit/>
        </w:trPr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小表巡檢</w:t>
            </w:r>
          </w:p>
        </w:tc>
        <w:tc>
          <w:tcPr>
            <w:tcW w:type="dxa" w:w="70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待依公司現行巡檢單與核准文件確認</w:t>
            </w:r>
          </w:p>
        </w:tc>
      </w:tr>
      <w:tr>
        <w:trPr>
          <w:cantSplit/>
        </w:trPr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內仁班巡檢</w:t>
            </w:r>
          </w:p>
        </w:tc>
        <w:tc>
          <w:tcPr>
            <w:tcW w:type="dxa" w:w="70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待依公司現行巡檢單與核准文件確認</w:t>
            </w:r>
          </w:p>
        </w:tc>
      </w:tr>
      <w:tr>
        <w:trPr>
          <w:cantSplit/>
        </w:trPr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加工組巡檢</w:t>
            </w:r>
          </w:p>
        </w:tc>
        <w:tc>
          <w:tcPr>
            <w:tcW w:type="dxa" w:w="70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待依公司現行巡檢單與核准文件確認</w:t>
            </w:r>
          </w:p>
        </w:tc>
      </w:tr>
      <w:tr>
        <w:trPr>
          <w:cantSplit/>
        </w:trPr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組裝班巡檢</w:t>
            </w:r>
          </w:p>
        </w:tc>
        <w:tc>
          <w:tcPr>
            <w:tcW w:type="dxa" w:w="70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待依公司現行巡檢單與核准文件確認</w:t>
            </w:r>
          </w:p>
        </w:tc>
      </w:tr>
      <w:tr>
        <w:trPr>
          <w:cantSplit/>
        </w:trPr>
        <w:tc>
          <w:tcPr>
            <w:tcW w:type="dxa" w:w="25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製檢班巡檢</w:t>
            </w:r>
          </w:p>
        </w:tc>
        <w:tc>
          <w:tcPr>
            <w:tcW w:type="dxa" w:w="70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待依公司現行巡檢單與核准文件確認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巡檢邊界的確認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QC應在巡檢前確認自己要監控的產品特性、製程節點與責任範圍。若同一項數據受到不同機台、模具、材料批次或人員影響，記錄時應分層，避免把不同條件混在一起而失去分析價值。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確認本次巡檢涵蓋的工單、批次、站別、機台與時間區間。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確認上一站輸出、本製程控制點及下一站需要的結果。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確認異常發生時由誰判定、誰執行應變、誰確認恢復。</w:t>
      </w:r>
    </w:p>
    <w:p>
      <w:r>
        <w:br w:type="page"/>
      </w:r>
    </w:p>
    <w:p>
      <w:pPr>
        <w:pStyle w:val="Heading1"/>
        <w:keepNext/>
      </w:pPr>
      <w:r>
        <w:t>第三章 製程巡檢內容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本章對應課綱第10單元，說明巡檢前確認、查核點設定、抽樣、量測與紀錄方式。</w:t>
      </w:r>
    </w:p>
    <w:p>
      <w:pPr>
        <w:pStyle w:val="Heading2"/>
        <w:keepNext/>
      </w:pPr>
      <w:r>
        <w:t>巡檢前確認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1.　確認生產資訊</w:t>
      </w:r>
      <w:r>
        <w:rPr>
          <w:rFonts w:ascii="Microsoft JhengHei" w:hAnsi="Microsoft JhengHei" w:eastAsia="Microsoft JhengHei"/>
          <w:color w:val="000000"/>
          <w:sz w:val="22"/>
        </w:rPr>
        <w:t xml:space="preserve">　核對料號、品名、工單、批號、生產數量與製程站別。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2.　確認文件版本</w:t>
      </w:r>
      <w:r>
        <w:rPr>
          <w:rFonts w:ascii="Microsoft JhengHei" w:hAnsi="Microsoft JhengHei" w:eastAsia="Microsoft JhengHei"/>
          <w:color w:val="000000"/>
          <w:sz w:val="22"/>
        </w:rPr>
        <w:t xml:space="preserve">　核對圖面、製程文件、檢驗規格與巡檢單是否為有效版本。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3.　確認首件與標準</w:t>
      </w:r>
      <w:r>
        <w:rPr>
          <w:rFonts w:ascii="Microsoft JhengHei" w:hAnsi="Microsoft JhengHei" w:eastAsia="Microsoft JhengHei"/>
          <w:color w:val="000000"/>
          <w:sz w:val="22"/>
        </w:rPr>
        <w:t xml:space="preserve">　確認首件核准狀態、標準樣品、限度樣品及必要治具。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4.　確認量測設備</w:t>
      </w:r>
      <w:r>
        <w:rPr>
          <w:rFonts w:ascii="Microsoft JhengHei" w:hAnsi="Microsoft JhengHei" w:eastAsia="Microsoft JhengHei"/>
          <w:color w:val="000000"/>
          <w:sz w:val="22"/>
        </w:rPr>
        <w:t xml:space="preserve">　檢查量具或測試設備的校正狀態、外觀、功能與零點。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5.　確認前次異常</w:t>
      </w:r>
      <w:r>
        <w:rPr>
          <w:rFonts w:ascii="Microsoft JhengHei" w:hAnsi="Microsoft JhengHei" w:eastAsia="Microsoft JhengHei"/>
          <w:color w:val="000000"/>
          <w:sz w:val="22"/>
        </w:rPr>
        <w:t xml:space="preserve">　查看相同產品、機台、模具或製程最近的異常與改善結果。</w:t>
      </w:r>
    </w:p>
    <w:p>
      <w:pPr>
        <w:pStyle w:val="Heading2"/>
        <w:keepNext/>
      </w:pPr>
      <w:r>
        <w:t>有效查核點的五項條件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44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條件</w:t>
            </w:r>
          </w:p>
        </w:tc>
        <w:tc>
          <w:tcPr>
            <w:tcW w:type="dxa" w:w="460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制定原則</w:t>
            </w:r>
          </w:p>
        </w:tc>
        <w:tc>
          <w:tcPr>
            <w:tcW w:type="dxa" w:w="360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確認內容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可被量測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能取得量測值，或以治具、限度樣品等方式客觀判定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避免只使用看起來正常等主觀描述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定義明確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清楚訂定位置、方法、規格、頻率、樣本數及判定方式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不同人員執行時應得到一致理解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設備可追溯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量具、治具及測試設備處於有效校正或確認狀態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設備編號、校正狀態及結果可以追溯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結果被記錄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保留實際量測值、時間、批次、設備及執行人員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重要尺寸不只記錄合格或不合格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隨機抽樣</w:t>
            </w:r>
          </w:p>
        </w:tc>
        <w:tc>
          <w:tcPr>
            <w:tcW w:type="dxa" w:w="460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樣品分散於不同時間、位置或生產順序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不只抽取最方便取得的產品</w:t>
            </w:r>
          </w:p>
        </w:tc>
      </w:tr>
    </w:tbl>
    <w:p>
      <w:pPr>
        <w:spacing w:after="0"/>
      </w:pPr>
    </w:p>
    <w:p>
      <w:pPr>
        <w:spacing w:after="160" w:line="307" w:lineRule="auto"/>
      </w:pPr>
      <w:r>
        <w:rPr>
          <w:rFonts w:ascii="Microsoft JhengHei" w:hAnsi="Microsoft JhengHei" w:eastAsia="Microsoft JhengHei"/>
          <w:b/>
          <w:color w:val="000000"/>
          <w:sz w:val="22"/>
        </w:rPr>
        <w:t xml:space="preserve">判斷原則　</w:t>
      </w:r>
      <w:r>
        <w:rPr>
          <w:rFonts w:ascii="Microsoft JhengHei" w:hAnsi="Microsoft JhengHei" w:eastAsia="Microsoft JhengHei"/>
          <w:color w:val="000000"/>
          <w:sz w:val="22"/>
        </w:rPr>
        <w:t>無法客觀判定、定義不明、設備失效、沒有紀錄或抽樣不具代表性的項目，不適合直接用來判斷製程穩定性。</w:t>
      </w:r>
    </w:p>
    <w:p>
      <w:pPr>
        <w:pStyle w:val="Heading2"/>
        <w:keepNext/>
      </w:pPr>
      <w:r>
        <w:t>外觀尺寸裝配功能與製程參數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18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類別</w:t>
            </w:r>
          </w:p>
        </w:tc>
        <w:tc>
          <w:tcPr>
            <w:tcW w:type="dxa" w:w="496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確認內容</w:t>
            </w:r>
          </w:p>
        </w:tc>
        <w:tc>
          <w:tcPr>
            <w:tcW w:type="dxa" w:w="3499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記錄方式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外觀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刮傷、毛邊、裂痕、變形、鏽蝕、色差及表面處理</w:t>
            </w:r>
          </w:p>
        </w:tc>
        <w:tc>
          <w:tcPr>
            <w:tcW w:type="dxa" w:w="34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缺陷位置、程度、數量及樣品序號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尺寸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長、寬、高、厚度、外徑、內徑、孔徑、孔距、位置與公差</w:t>
            </w:r>
          </w:p>
        </w:tc>
        <w:tc>
          <w:tcPr>
            <w:tcW w:type="dxa" w:w="34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保留實際量測值與量具編號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裝配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組合公差、鬆緊度、干涉、螺牙規格、牙距與鎖附狀態</w:t>
            </w:r>
          </w:p>
        </w:tc>
        <w:tc>
          <w:tcPr>
            <w:tcW w:type="dxa" w:w="34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記錄配合結果、治具結果或必要數值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功能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啟動、顯示、按鍵、輸入輸出、連接及指定功能</w:t>
            </w:r>
          </w:p>
        </w:tc>
        <w:tc>
          <w:tcPr>
            <w:tcW w:type="dxa" w:w="34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記錄測試條件、實際結果與異常現象</w:t>
            </w:r>
          </w:p>
        </w:tc>
      </w:tr>
      <w:tr>
        <w:trPr>
          <w:cantSplit/>
        </w:trPr>
        <w:tc>
          <w:tcPr>
            <w:tcW w:type="dxa" w:w="11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製程參數</w:t>
            </w:r>
          </w:p>
        </w:tc>
        <w:tc>
          <w:tcPr>
            <w:tcW w:type="dxa" w:w="49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溫度、壓力、速度、扭力、加工參數或公司指定條件</w:t>
            </w:r>
          </w:p>
        </w:tc>
        <w:tc>
          <w:tcPr>
            <w:tcW w:type="dxa" w:w="349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記錄設定值、實際值、時間與設備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巡檢頻率與隨機抽樣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巡檢頻率應能反映製程的變化速度與風險。樣本應分散在不同時間、位置、穴位或生產順序；若只在同一時間連續抽取，樣本數增加也不一定能代表整批製程。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換料、換模、換刀、調機、維修、停機後重啟或人員交接時，增加確認。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出現趨勢、偏移或規格風險時，可提高抽樣數或縮短巡檢間隔。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完成調整後應保留連續數據，確認變化不是短暫回復。</w:t>
      </w:r>
    </w:p>
    <w:p>
      <w:pPr>
        <w:pStyle w:val="Heading2"/>
        <w:keepNext/>
      </w:pPr>
      <w:r>
        <w:t>巡檢資料記錄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97"/>
        <w:gridCol w:w="4997"/>
      </w:tblGrid>
      <w:tr>
        <w:trPr>
          <w:tblHeader w:val="true"/>
          <w:cantSplit/>
        </w:trPr>
        <w:tc>
          <w:tcPr>
            <w:tcW w:type="dxa" w:w="180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資料類別</w:t>
            </w:r>
          </w:p>
        </w:tc>
        <w:tc>
          <w:tcPr>
            <w:tcW w:type="dxa" w:w="784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必要內容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識別資料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日期、時間、工單、料號、批號、生產數量與站別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製程條件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機台、模具、治具、線別、材料批次與重要參數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檢驗資料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檢驗項目、規格、量測值、量具、抽樣位置與樣本數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異常資料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異常開始時間、現象、趨勢、影響批次與暫行措施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追蹤資料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原因、改善措施、處理後數據、責任人與確認結果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第四章 製程異常處理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本章對應課綱第11單元。異常處理先控制風險，再確認影響範圍與原因，最後以數據驗證製程恢復。</w:t>
      </w:r>
    </w:p>
    <w:p>
      <w:pPr>
        <w:pStyle w:val="Heading2"/>
        <w:keepNext/>
      </w:pPr>
      <w:r>
        <w:t>異常處理流程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1.　停止判定</w:t>
      </w:r>
      <w:r>
        <w:rPr>
          <w:rFonts w:ascii="Microsoft JhengHei" w:hAnsi="Microsoft JhengHei" w:eastAsia="Microsoft JhengHei"/>
          <w:color w:val="000000"/>
          <w:sz w:val="22"/>
        </w:rPr>
        <w:t xml:space="preserve">　資料版本、量具或判定標準有疑問時，不先做合格結論。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2.　隔離與標示</w:t>
      </w:r>
      <w:r>
        <w:rPr>
          <w:rFonts w:ascii="Microsoft JhengHei" w:hAnsi="Microsoft JhengHei" w:eastAsia="Microsoft JhengHei"/>
          <w:color w:val="000000"/>
          <w:sz w:val="22"/>
        </w:rPr>
        <w:t xml:space="preserve">　將異常品、待確認品及可能受影響產品分開管理。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3.　確認影響範圍</w:t>
      </w:r>
      <w:r>
        <w:rPr>
          <w:rFonts w:ascii="Microsoft JhengHei" w:hAnsi="Microsoft JhengHei" w:eastAsia="Microsoft JhengHei"/>
          <w:color w:val="000000"/>
          <w:sz w:val="22"/>
        </w:rPr>
        <w:t xml:space="preserve">　回溯上一個可信正常點，確認時間、批次、機台、模具及數量。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4.　通報相關人員</w:t>
      </w:r>
      <w:r>
        <w:rPr>
          <w:rFonts w:ascii="Microsoft JhengHei" w:hAnsi="Microsoft JhengHei" w:eastAsia="Microsoft JhengHei"/>
          <w:color w:val="000000"/>
          <w:sz w:val="22"/>
        </w:rPr>
        <w:t xml:space="preserve">　說明異常現象、產品狀態、影響範圍與目前措施。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5.　執行暫行措施</w:t>
      </w:r>
      <w:r>
        <w:rPr>
          <w:rFonts w:ascii="Microsoft JhengHei" w:hAnsi="Microsoft JhengHei" w:eastAsia="Microsoft JhengHei"/>
          <w:color w:val="000000"/>
          <w:sz w:val="22"/>
        </w:rPr>
        <w:t xml:space="preserve">　依風險增加抽樣、縮短間隔、調整、隔離或停線。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6.　決定產品處置</w:t>
      </w:r>
      <w:r>
        <w:rPr>
          <w:rFonts w:ascii="Microsoft JhengHei" w:hAnsi="Microsoft JhengHei" w:eastAsia="Microsoft JhengHei"/>
          <w:color w:val="000000"/>
          <w:sz w:val="22"/>
        </w:rPr>
        <w:t xml:space="preserve">　依程序執行重工、剔選、報廢、特採或其他處理。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7.　改善後首件確認</w:t>
      </w:r>
      <w:r>
        <w:rPr>
          <w:rFonts w:ascii="Microsoft JhengHei" w:hAnsi="Microsoft JhengHei" w:eastAsia="Microsoft JhengHei"/>
          <w:color w:val="000000"/>
          <w:sz w:val="22"/>
        </w:rPr>
        <w:t xml:space="preserve">　重新確認產品與製程條件，符合恢復標準後再生產。</w:t>
      </w:r>
    </w:p>
    <w:p>
      <w:pPr>
        <w:spacing w:after="100" w:line="293" w:lineRule="auto"/>
        <w:ind w:left="29" w:firstLine="0"/>
      </w:pPr>
      <w:r>
        <w:rPr>
          <w:rFonts w:ascii="Microsoft JhengHei" w:hAnsi="Microsoft JhengHei" w:eastAsia="Microsoft JhengHei"/>
          <w:b/>
          <w:color w:val="000000"/>
          <w:sz w:val="22"/>
        </w:rPr>
        <w:t>8.　追蹤與結案</w:t>
      </w:r>
      <w:r>
        <w:rPr>
          <w:rFonts w:ascii="Microsoft JhengHei" w:hAnsi="Microsoft JhengHei" w:eastAsia="Microsoft JhengHei"/>
          <w:color w:val="000000"/>
          <w:sz w:val="22"/>
        </w:rPr>
        <w:t xml:space="preserve">　記錄原因、措施、驗證數據及防止再發的標準化內容。</w:t>
      </w:r>
    </w:p>
    <w:p>
      <w:pPr>
        <w:pStyle w:val="Heading2"/>
        <w:keepNext/>
      </w:pPr>
      <w:r>
        <w:t>異常風險與反應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44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風險層級</w:t>
            </w:r>
          </w:p>
        </w:tc>
        <w:tc>
          <w:tcPr>
            <w:tcW w:type="dxa" w:w="453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判斷情況</w:t>
            </w:r>
          </w:p>
        </w:tc>
        <w:tc>
          <w:tcPr>
            <w:tcW w:type="dxa" w:w="3671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優先反應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高風險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安全、法規、客戶關鍵要求；產品已超規；異常快速擴大或無法隔離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立即隔離、通報並依反應計畫停線或限制生產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中風險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出現管制訊號、持續趨勢或偏移，但產品仍在規格內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確認資料與特殊原因，提高監控並評估後續規格風險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低風險</w:t>
            </w:r>
          </w:p>
        </w:tc>
        <w:tc>
          <w:tcPr>
            <w:tcW w:type="dxa" w:w="45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局部紀錄缺漏、輕微短暫波動或可立即排除且無產品風險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補正資料、確認恢復並保留追蹤紀錄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停線判定原則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超出管制界線表示製程可能出現特殊原因，應立即分析，但不代表一定自動停線。是否停線應依安全與功能風險、規格狀態、變化速度、影響範圍、隔離能力及公司反應計畫決定。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管制外但規格內：先確認資料、調查特殊原因、評估趨勢並提高監控。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規格外：產品不得直接流入下一站，先隔離、追溯並決定處置。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量具或測試設備失效：停止使用該設備，確認其先前結果與受影響範圍。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無法隔離受影響產品或異常持續擴大：依風險與反應計畫採取停線。</w:t>
      </w:r>
    </w:p>
    <w:p>
      <w:pPr>
        <w:pStyle w:val="Heading2"/>
        <w:keepNext/>
      </w:pPr>
      <w:r>
        <w:t>特殊放行與追蹤管制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特殊放行不是把異常改成合格，而是在風險已被評估、範圍受控且權責核准的條件下，允許指定產品繼續流動。所有特殊放行都必須有所依據，並搭配追蹤管制，不得只以口頭同意或現場經驗決定。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97"/>
        <w:gridCol w:w="4997"/>
      </w:tblGrid>
      <w:tr>
        <w:trPr>
          <w:tblHeader w:val="true"/>
          <w:cantSplit/>
        </w:trPr>
        <w:tc>
          <w:tcPr>
            <w:tcW w:type="dxa" w:w="1843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必要項目</w:t>
            </w:r>
          </w:p>
        </w:tc>
        <w:tc>
          <w:tcPr>
            <w:tcW w:type="dxa" w:w="780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應記錄與執行的內容</w:t>
            </w:r>
          </w:p>
        </w:tc>
      </w:tr>
      <w:tr>
        <w:trPr>
          <w:cantSplit/>
        </w:trPr>
        <w:tc>
          <w:tcPr>
            <w:tcW w:type="dxa" w:w="18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放行依據</w:t>
            </w:r>
          </w:p>
        </w:tc>
        <w:tc>
          <w:tcPr>
            <w:tcW w:type="dxa" w:w="78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異常內容、風險評估、數據證據及無法依正常程序處理的理由</w:t>
            </w:r>
          </w:p>
        </w:tc>
      </w:tr>
      <w:tr>
        <w:trPr>
          <w:cantSplit/>
        </w:trPr>
        <w:tc>
          <w:tcPr>
            <w:tcW w:type="dxa" w:w="18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適用範圍</w:t>
            </w:r>
          </w:p>
        </w:tc>
        <w:tc>
          <w:tcPr>
            <w:tcW w:type="dxa" w:w="78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料號、工單、批次、數量、站別、使用限制及有效期間</w:t>
            </w:r>
          </w:p>
        </w:tc>
      </w:tr>
      <w:tr>
        <w:trPr>
          <w:cantSplit/>
        </w:trPr>
        <w:tc>
          <w:tcPr>
            <w:tcW w:type="dxa" w:w="18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權責核准</w:t>
            </w:r>
          </w:p>
        </w:tc>
        <w:tc>
          <w:tcPr>
            <w:tcW w:type="dxa" w:w="78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核准人員、日期、附帶條件及需要通知的單位</w:t>
            </w:r>
          </w:p>
        </w:tc>
      </w:tr>
      <w:tr>
        <w:trPr>
          <w:cantSplit/>
        </w:trPr>
        <w:tc>
          <w:tcPr>
            <w:tcW w:type="dxa" w:w="18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輔助管制</w:t>
            </w:r>
          </w:p>
        </w:tc>
        <w:tc>
          <w:tcPr>
            <w:tcW w:type="dxa" w:w="78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加驗、功能測試、標示、隔離、縮短巡檢間隔或指定用途</w:t>
            </w:r>
          </w:p>
        </w:tc>
      </w:tr>
      <w:tr>
        <w:trPr>
          <w:cantSplit/>
        </w:trPr>
        <w:tc>
          <w:tcPr>
            <w:tcW w:type="dxa" w:w="184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後續追蹤</w:t>
            </w:r>
          </w:p>
        </w:tc>
        <w:tc>
          <w:tcPr>
            <w:tcW w:type="dxa" w:w="78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使用結果、後段檢驗、下一批狀態、改善驗證及結案條件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異常回報必要內容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97"/>
        <w:gridCol w:w="4997"/>
      </w:tblGrid>
      <w:tr>
        <w:trPr>
          <w:tblHeader w:val="true"/>
          <w:cantSplit/>
        </w:trPr>
        <w:tc>
          <w:tcPr>
            <w:tcW w:type="dxa" w:w="180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回報項目</w:t>
            </w:r>
          </w:p>
        </w:tc>
        <w:tc>
          <w:tcPr>
            <w:tcW w:type="dxa" w:w="784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應說明內容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原本狀態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原定製程條件、規格與正常數據範圍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實際變化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何時開始、出現何種趨勢或異常訊號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影響範圍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涉及批次、數量、站別、機台與後續製程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目前措施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隔離、增加確認、調整、停線或其他應變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分析結果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已確認原因、待確認事項與使用的資料證據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後續追蹤</w:t>
            </w:r>
          </w:p>
        </w:tc>
        <w:tc>
          <w:tcPr>
            <w:tcW w:type="dxa" w:w="78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改善責任、完成時間與穩定性驗證方式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第五章 製程資料與SPC基本應用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本章對應課綱第12單元。SPC的重點不是把所有尺寸都放入管制圖，而是針對關鍵特性，以可信且可比較的資料掌握中心、變異與趨勢。</w:t>
      </w:r>
    </w:p>
    <w:p>
      <w:pPr>
        <w:pStyle w:val="Heading2"/>
        <w:keepNext/>
      </w:pPr>
      <w:r>
        <w:t>關鍵尺寸的選定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影響裝配、功能、安全、法規或客戶要求的尺寸。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歷史上經常異常、容易磨耗或對製程參數敏感的尺寸。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能代表重要製程變化，且量測系統足以分辨其差異的尺寸。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選定後應定義量測位置、方法、頻率、分組與反應方式。</w:t>
      </w:r>
    </w:p>
    <w:p>
      <w:pPr>
        <w:pStyle w:val="Heading2"/>
        <w:keepNext/>
      </w:pPr>
      <w:r>
        <w:t>數據收集與分組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建立管制圖前，必須先確認資料代表同一製程條件。不同機台、模具、穴位、材料批次或班別若可能造成系統差異，應分層記錄與比較，不宜任意混合。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997"/>
        <w:gridCol w:w="4997"/>
      </w:tblGrid>
      <w:tr>
        <w:trPr>
          <w:tblHeader w:val="true"/>
          <w:cantSplit/>
        </w:trPr>
        <w:tc>
          <w:tcPr>
            <w:tcW w:type="dxa" w:w="208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檢查項目</w:t>
            </w:r>
          </w:p>
        </w:tc>
        <w:tc>
          <w:tcPr>
            <w:tcW w:type="dxa" w:w="756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確認重點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量測一致性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量具、方法、位置與操作方式能重複取得相近結果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抽樣代表性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樣本分散於適當時間與位置，能反映製程變化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合理分組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同一小組資料來自相近且可比較的生產條件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資料可追溯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能回查工單、時間、機台、材料、量具與人員</w:t>
            </w:r>
          </w:p>
        </w:tc>
      </w:tr>
      <w:tr>
        <w:trPr>
          <w:cantSplit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界線有依據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中心線與管制界線以穩定期間資料建立並保留計算依據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平均值全距與變異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512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統計概念</w:t>
            </w:r>
          </w:p>
        </w:tc>
        <w:tc>
          <w:tcPr>
            <w:tcW w:type="dxa" w:w="3671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用途</w:t>
            </w:r>
          </w:p>
        </w:tc>
        <w:tc>
          <w:tcPr>
            <w:tcW w:type="dxa" w:w="446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判讀重點</w:t>
            </w:r>
          </w:p>
        </w:tc>
      </w:tr>
      <w:tr>
        <w:trPr>
          <w:cantSplit/>
        </w:trPr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平均值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描述一組數據的中心位置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中心是否偏離目標或持續往同一方向移動</w:t>
            </w:r>
          </w:p>
        </w:tc>
      </w:tr>
      <w:tr>
        <w:trPr>
          <w:cantSplit/>
        </w:trPr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全距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描述同一組最大值與最小值的差距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組內波動是否突然擴大或縮小</w:t>
            </w:r>
          </w:p>
        </w:tc>
      </w:tr>
      <w:tr>
        <w:trPr>
          <w:cantSplit/>
        </w:trPr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變異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描述製程數據分散程度</w:t>
            </w:r>
          </w:p>
        </w:tc>
        <w:tc>
          <w:tcPr>
            <w:tcW w:type="dxa" w:w="44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變異是否足以讓產品接近或超出規格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管制圖的基本判讀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89320" cy="252882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管制界線與規格界線_示意圖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528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Microsoft JhengHei" w:hAnsi="Microsoft JhengHei" w:eastAsia="Microsoft JhengHei"/>
          <w:b w:val="0"/>
          <w:color w:val="666666"/>
          <w:sz w:val="19"/>
        </w:rPr>
        <w:t>圖一　管制訊號與規格界線示意　實際相對位置依製程能力而定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圖中的橘色點超出上管制界線但仍在上規格界線內，代表產品目前可能仍符合規格，但製程已出現統計異常訊號。此時應分析特殊原因、確認影響範圍與後續趨勢，不應把管制界線直接當作產品合格判定線。</w:t>
      </w:r>
    </w:p>
    <w:p>
      <w:pPr>
        <w:pStyle w:val="Heading2"/>
        <w:keepNext/>
      </w:pPr>
      <w:r>
        <w:t>管制界線與規格界線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498"/>
        <w:gridCol w:w="2498"/>
        <w:gridCol w:w="2498"/>
        <w:gridCol w:w="2498"/>
      </w:tblGrid>
      <w:tr>
        <w:trPr>
          <w:tblHeader w:val="true"/>
          <w:cantSplit/>
        </w:trPr>
        <w:tc>
          <w:tcPr>
            <w:tcW w:type="dxa" w:w="180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界線</w:t>
            </w:r>
          </w:p>
        </w:tc>
        <w:tc>
          <w:tcPr>
            <w:tcW w:type="dxa" w:w="2448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來源</w:t>
            </w:r>
          </w:p>
        </w:tc>
        <w:tc>
          <w:tcPr>
            <w:tcW w:type="dxa" w:w="194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判斷對象</w:t>
            </w:r>
          </w:p>
        </w:tc>
        <w:tc>
          <w:tcPr>
            <w:tcW w:type="dxa" w:w="3456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超出後的主要動作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管制界線 UCL LCL</w:t>
            </w:r>
          </w:p>
        </w:tc>
        <w:tc>
          <w:tcPr>
            <w:tcW w:type="dxa" w:w="24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製程歷史數據計算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製程是否穩定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啟動分析、調查特殊原因、確認變化點並提高監控</w:t>
            </w:r>
          </w:p>
        </w:tc>
      </w:tr>
      <w:tr>
        <w:trPr>
          <w:cantSplit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規格界線 USL LSL</w:t>
            </w:r>
          </w:p>
        </w:tc>
        <w:tc>
          <w:tcPr>
            <w:tcW w:type="dxa" w:w="244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圖面、設計或客戶要求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產品是否符合要求</w:t>
            </w:r>
          </w:p>
        </w:tc>
        <w:tc>
          <w:tcPr>
            <w:tcW w:type="dxa" w:w="345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隔離產品、確認影響範圍並依程序決定處置</w:t>
            </w:r>
          </w:p>
        </w:tc>
      </w:tr>
    </w:tbl>
    <w:p>
      <w:pPr>
        <w:spacing w:after="0"/>
      </w:pPr>
    </w:p>
    <w:p>
      <w:pPr>
        <w:spacing w:after="160" w:line="307" w:lineRule="auto"/>
      </w:pPr>
      <w:r>
        <w:rPr>
          <w:rFonts w:ascii="Microsoft JhengHei" w:hAnsi="Microsoft JhengHei" w:eastAsia="Microsoft JhengHei"/>
          <w:b/>
          <w:color w:val="000000"/>
          <w:sz w:val="22"/>
        </w:rPr>
        <w:t xml:space="preserve">一句話區分　</w:t>
      </w:r>
      <w:r>
        <w:rPr>
          <w:rFonts w:ascii="Microsoft JhengHei" w:hAnsi="Microsoft JhengHei" w:eastAsia="Microsoft JhengHei"/>
          <w:color w:val="000000"/>
          <w:sz w:val="22"/>
        </w:rPr>
        <w:t>管制界線是分析製程穩定性的界線；規格界線是判斷產品符合性的界線。兩者不能互相代替。</w:t>
      </w:r>
    </w:p>
    <w:p>
      <w:pPr>
        <w:pStyle w:val="Heading2"/>
        <w:keepNext/>
      </w:pPr>
      <w:r>
        <w:t>常見的異常訊號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數據點超出上管制界線或下管制界線。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數據連續往同一方向上升或下降。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多個數據點長時間集中在中心線同一側。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數據呈現週期性、突然位移或變異明顯擴大。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製程接近規格界線，且依現有趨勢可能持續惡化。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不同管制圖可採用不同判讀規則。公司正式使用時，應依選定的管制圖、資料分組方式及反應計畫執行。</w:t>
      </w:r>
    </w:p>
    <w:p>
      <w:pPr>
        <w:pStyle w:val="Heading2"/>
        <w:keepNext/>
      </w:pPr>
      <w:r>
        <w:t>從巡檢資料到製程改善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3331"/>
        <w:gridCol w:w="3331"/>
        <w:gridCol w:w="3331"/>
      </w:tblGrid>
      <w:tr>
        <w:trPr>
          <w:tblHeader w:val="true"/>
          <w:cantSplit/>
        </w:trPr>
        <w:tc>
          <w:tcPr>
            <w:tcW w:type="dxa" w:w="1440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階段</w:t>
            </w:r>
          </w:p>
        </w:tc>
        <w:tc>
          <w:tcPr>
            <w:tcW w:type="dxa" w:w="482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工作內容</w:t>
            </w:r>
          </w:p>
        </w:tc>
        <w:tc>
          <w:tcPr>
            <w:tcW w:type="dxa" w:w="3384"/>
            <w:shd w:fill="1F4E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icrosoft JhengHei" w:hAnsi="Microsoft JhengHei" w:eastAsia="Microsoft JhengHei"/>
                <w:b/>
                <w:color w:val="FFFFFF"/>
                <w:sz w:val="21"/>
              </w:rPr>
              <w:t>主要輸出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掌握現況</w:t>
            </w:r>
          </w:p>
        </w:tc>
        <w:tc>
          <w:tcPr>
            <w:tcW w:type="dxa" w:w="48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收集連續數據並確認製程、材料及設備條件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可信的管制圖與異常範圍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分析原因</w:t>
            </w:r>
          </w:p>
        </w:tc>
        <w:tc>
          <w:tcPr>
            <w:tcW w:type="dxa" w:w="48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依變化時間確認人、機、料、法、環、測的差異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可驗證的特殊原因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執行改善</w:t>
            </w:r>
          </w:p>
        </w:tc>
        <w:tc>
          <w:tcPr>
            <w:tcW w:type="dxa" w:w="48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調整參數、保養、更換耗材或修訂作業方式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改善措施與責任分工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驗證效果</w:t>
            </w:r>
          </w:p>
        </w:tc>
        <w:tc>
          <w:tcPr>
            <w:tcW w:type="dxa" w:w="48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比較改善前後的中心、變異與異常發生情況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4F8FB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製程恢復穩定的證據</w:t>
            </w:r>
          </w:p>
        </w:tc>
      </w:tr>
      <w:tr>
        <w:trPr>
          <w:cantSplit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標準化</w:t>
            </w:r>
          </w:p>
        </w:tc>
        <w:tc>
          <w:tcPr>
            <w:tcW w:type="dxa" w:w="48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更新巡檢頻率、反應計畫、保養週期或作業標準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Microsoft JhengHei" w:hAnsi="Microsoft JhengHei" w:eastAsia="Microsoft JhengHei"/>
                <w:color w:val="000000"/>
                <w:sz w:val="20"/>
              </w:rPr>
              <w:t>降低再發並提高效率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製程巡檢能力確認</w:t>
      </w:r>
    </w:p>
    <w:p>
      <w:pPr>
        <w:spacing w:after="140" w:line="307" w:lineRule="auto"/>
      </w:pPr>
      <w:r>
        <w:rPr>
          <w:rFonts w:ascii="Microsoft JhengHei" w:hAnsi="Microsoft JhengHei" w:eastAsia="Microsoft JhengHei"/>
          <w:color w:val="000000"/>
          <w:sz w:val="22"/>
        </w:rPr>
        <w:t>完成本階段課程後，受訓人員應能依公司文件與現場條件完成下列工作。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說明製程巡檢與進料檢驗的目的差異。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依首件與製程巡檢規定時點確認生產狀態。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辨識大表、小表及各班組的巡檢範圍。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核對工單、料號、批次、圖面與製程文件版本。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依五項條件判斷查核點是否有效。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執行具有代表性的隨機抽樣並保留實際數據。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區分異常現象、管制訊號與規格超差。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依風險完成隔離、追溯、通報、處置及恢復確認。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區分管制界線與規格界線的用途。</w:t>
      </w:r>
    </w:p>
    <w:p>
      <w:pPr>
        <w:spacing w:after="100" w:line="288" w:lineRule="auto"/>
        <w:ind w:left="216"/>
      </w:pPr>
      <w:r>
        <w:rPr>
          <w:rFonts w:ascii="Microsoft JhengHei" w:hAnsi="Microsoft JhengHei" w:eastAsia="Microsoft JhengHei"/>
          <w:color w:val="000000"/>
          <w:sz w:val="22"/>
        </w:rPr>
        <w:t>□　使用巡檢資料追蹤製程穩定性與改善效果。</w:t>
      </w:r>
    </w:p>
    <w:p>
      <w:pPr>
        <w:pStyle w:val="Heading2"/>
        <w:keepNext/>
      </w:pPr>
      <w:r>
        <w:t>本版重點整理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巡檢的目的在於穩定製程、改善製程與提高效率。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產品量測是判斷製程狀態的證據，不是巡檢的唯一終點。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有效查核點必須可量測、定義明確、設備可追溯、結果有記錄並採隨機抽樣。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超出管制界線應啟動分析，但不一定立即停線。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超出規格界線時，必須控制產品並確認影響範圍。</w:t>
      </w:r>
    </w:p>
    <w:p>
      <w:pPr>
        <w:pStyle w:val="ListBullet"/>
        <w:spacing w:after="60" w:line="293" w:lineRule="auto"/>
      </w:pPr>
      <w:r>
        <w:rPr>
          <w:rFonts w:ascii="Microsoft JhengHei" w:hAnsi="Microsoft JhengHei" w:eastAsia="Microsoft JhengHei"/>
          <w:color w:val="000000"/>
          <w:sz w:val="22"/>
        </w:rPr>
        <w:t>巡檢應形成資料、分析、改善、驗證與標準化的完整循環。</w:t>
      </w:r>
    </w:p>
    <w:sectPr w:rsidR="00FC693F" w:rsidRPr="0006063C" w:rsidSect="00034616">
      <w:footerReference w:type="default" r:id="rId9"/>
      <w:pgSz w:w="12240" w:h="15840"/>
      <w:pgMar w:top="1037" w:right="1123" w:bottom="979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97"/>
      <w:gridCol w:w="4997"/>
    </w:tblGrid>
    <w:tr>
      <w:tc>
        <w:tcPr>
          <w:tcW w:type="dxa" w:w="7776"/>
        </w:tcPr>
        <w:p>
          <w:pPr>
            <w:spacing w:after="0"/>
          </w:pPr>
          <w:r>
            <w:rPr>
              <w:rFonts w:ascii="Microsoft JhengHei" w:hAnsi="Microsoft JhengHei" w:eastAsia="Microsoft JhengHei"/>
              <w:color w:val="666666"/>
              <w:sz w:val="18"/>
            </w:rPr>
            <w:t>QC製程巡檢教育手冊</w:t>
          </w:r>
        </w:p>
      </w:tc>
      <w:tc>
        <w:tcPr>
          <w:tcW w:type="dxa" w:w="2217"/>
        </w:tcPr>
        <w:p>
          <w:pPr>
            <w:spacing w:after="0"/>
            <w:jc w:val="right"/>
          </w:pPr>
          <w:r>
            <w:rPr>
              <w:rFonts w:ascii="Microsoft JhengHei" w:hAnsi="Microsoft JhengHei" w:eastAsia="Microsoft JhengHei"/>
              <w:color w:val="666666"/>
              <w:sz w:val="18"/>
            </w:rPr>
            <w:t xml:space="preserve">第 </w:t>
            <w:fldChar w:fldCharType="begin"/>
            <w:instrText xml:space="preserve"> PAGE </w:instrText>
            <w:fldChar w:fldCharType="end"/>
          </w:r>
          <w:r>
            <w:rPr>
              <w:rFonts w:ascii="Microsoft JhengHei" w:hAnsi="Microsoft JhengHei" w:eastAsia="Microsoft JhengHei"/>
              <w:color w:val="666666"/>
              <w:sz w:val="18"/>
            </w:rPr>
            <w:t xml:space="preserve"> 頁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JhengHei" w:hAnsi="Microsoft JhengHei" w:eastAsia="Microsoft JhengHe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00000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80" w:line="240" w:lineRule="auto" w:before="0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b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Microsoft JhengHei" w:hAnsi="Microsoft JhengHei" w:eastAsia="Microsoft JhengHei"/>
      <w:b w:val="0"/>
      <w:i/>
      <w:iCs/>
      <w:color w:val="00000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JhengHei" w:hAnsi="Microsoft JhengHei" w:eastAsia="Microsoft Jheng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Microsoft JhengHei" w:hAnsi="Microsoft JhengHei" w:eastAsia="Microsoft JhengHei"/>
      <w:sz w:val="22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JhengHei" w:hAnsi="Microsoft JhengHei" w:eastAsia="Microsoft Jheng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QC製程巡檢教育手冊</dc:title>
  <dc:subject>品檢組製程巡檢教育訓練</dc:subject>
  <dc:creator/>
  <cp:keywords>QC, IPQC, 製程巡檢, SPC, 管制圖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